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blPrEx>
          <w:tblCellMar>
            <w:top w:w="0" w:type="dxa"/>
            <w:left w:w="144" w:type="dxa"/>
            <w:bottom w:w="0" w:type="dxa"/>
            <w:right w:w="115" w:type="dxa"/>
          </w:tblCellMar>
        </w:tblPrEx>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25264D18">
            <w:pPr>
              <w:rPr>
                <w:rFonts w:hint="default" w:ascii="宋体" w:hAnsi="宋体" w:eastAsiaTheme="minorEastAsia"/>
                <w:sz w:val="32"/>
                <w:szCs w:val="32"/>
                <w:lang w:val="en-US" w:eastAsia="zh-CN"/>
              </w:rPr>
            </w:pPr>
            <w:r>
              <w:rPr>
                <w:rFonts w:hint="eastAsia" w:ascii="宋体" w:hAnsi="宋体"/>
                <w:sz w:val="32"/>
                <w:szCs w:val="32"/>
              </w:rPr>
              <w:t>项目名称：</w:t>
            </w:r>
            <w:r>
              <w:rPr>
                <w:rFonts w:hint="eastAsia"/>
                <w:sz w:val="30"/>
                <w:szCs w:val="30"/>
                <w:lang w:val="en-US" w:eastAsia="zh-CN"/>
              </w:rPr>
              <w:t>医学院信息化系统运行维护服务</w:t>
            </w:r>
          </w:p>
          <w:p w14:paraId="383367D6">
            <w:pPr>
              <w:pStyle w:val="15"/>
              <w:rPr>
                <w:rFonts w:hint="eastAsia" w:ascii="宋体" w:hAnsi="宋体"/>
                <w:sz w:val="32"/>
                <w:szCs w:val="32"/>
                <w:lang w:val="en-US" w:eastAsia="zh-CN"/>
              </w:rPr>
            </w:pP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2025002</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4</w:t>
            </w:r>
            <w:r>
              <w:rPr>
                <w:rFonts w:ascii="宋体" w:hAnsi="宋体"/>
                <w:kern w:val="0"/>
                <w:sz w:val="32"/>
                <w:highlight w:val="none"/>
              </w:rPr>
              <w:t>年</w:t>
            </w:r>
            <w:r>
              <w:rPr>
                <w:rFonts w:hint="eastAsia" w:ascii="宋体" w:hAnsi="宋体"/>
                <w:kern w:val="0"/>
                <w:sz w:val="32"/>
                <w:highlight w:val="none"/>
                <w:lang w:val="en-US" w:eastAsia="zh-CN"/>
              </w:rPr>
              <w:t>5</w:t>
            </w:r>
            <w:r>
              <w:rPr>
                <w:rFonts w:ascii="宋体" w:hAnsi="宋体"/>
                <w:kern w:val="0"/>
                <w:sz w:val="32"/>
                <w:highlight w:val="none"/>
              </w:rPr>
              <w:t>月</w:t>
            </w:r>
            <w:r>
              <w:rPr>
                <w:rFonts w:hint="eastAsia" w:ascii="宋体" w:hAnsi="宋体"/>
                <w:kern w:val="0"/>
                <w:sz w:val="32"/>
                <w:highlight w:val="none"/>
                <w:lang w:val="en-US" w:eastAsia="zh-CN"/>
              </w:rPr>
              <w:t>12</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2"/>
        <w:jc w:val="center"/>
        <w:rPr>
          <w:rFonts w:ascii="宋体" w:hAnsi="宋体"/>
        </w:rPr>
      </w:pPr>
      <w:bookmarkStart w:id="0" w:name="_Toc4792"/>
      <w:r>
        <w:rPr>
          <w:rFonts w:hint="eastAsia" w:ascii="宋体" w:hAnsi="宋体"/>
        </w:rPr>
        <w:t>第一部分  校内分散采购邀请</w:t>
      </w:r>
      <w:bookmarkEnd w:id="0"/>
    </w:p>
    <w:p w14:paraId="05CA580B">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spacing w:val="4"/>
          <w:sz w:val="24"/>
          <w:u w:val="single"/>
          <w:lang w:val="en-US" w:eastAsia="zh-CN"/>
        </w:rPr>
        <w:t>医学院信息化系统运行维护服务</w:t>
      </w:r>
      <w:r>
        <w:rPr>
          <w:rFonts w:hint="eastAsia" w:ascii="宋体" w:hAnsi="宋体"/>
          <w:spacing w:val="4"/>
          <w:sz w:val="24"/>
        </w:rPr>
        <w:t>进行校内分散采购，现予以公告，欢迎潜在的供应商参与本次信息化</w:t>
      </w:r>
      <w:r>
        <w:rPr>
          <w:rFonts w:hint="eastAsia" w:ascii="宋体" w:hAnsi="宋体" w:eastAsia="宋体" w:cs="宋体"/>
          <w:sz w:val="24"/>
        </w:rPr>
        <w:t>项目</w:t>
      </w:r>
      <w:r>
        <w:rPr>
          <w:rFonts w:hint="eastAsia" w:ascii="宋体" w:hAnsi="宋体"/>
          <w:spacing w:val="4"/>
          <w:sz w:val="24"/>
        </w:rPr>
        <w:t>校内分散采购</w:t>
      </w:r>
      <w:r>
        <w:rPr>
          <w:rFonts w:ascii="宋体" w:hAnsi="宋体" w:eastAsia="宋体" w:cs="宋体"/>
          <w:sz w:val="24"/>
        </w:rPr>
        <w:t>。</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ascii="宋体" w:hAnsi="宋体"/>
          <w:bCs/>
          <w:spacing w:val="4"/>
          <w:sz w:val="24"/>
        </w:rPr>
      </w:pPr>
      <w:r>
        <w:rPr>
          <w:rFonts w:hint="eastAsia" w:ascii="宋体" w:hAnsi="宋体"/>
          <w:b/>
          <w:bCs/>
          <w:spacing w:val="4"/>
          <w:sz w:val="24"/>
        </w:rPr>
        <w:t>信息化项目名称：</w:t>
      </w:r>
      <w:r>
        <w:rPr>
          <w:rFonts w:hint="eastAsia" w:ascii="宋体" w:hAnsi="宋体"/>
          <w:b/>
          <w:bCs/>
          <w:spacing w:val="4"/>
          <w:sz w:val="24"/>
          <w:lang w:val="en-US" w:eastAsia="zh-CN"/>
        </w:rPr>
        <w:t>医学院信息化系统运行维护服务</w:t>
      </w:r>
    </w:p>
    <w:p w14:paraId="36379FB9">
      <w:pPr>
        <w:numPr>
          <w:ilvl w:val="0"/>
          <w:numId w:val="2"/>
        </w:numPr>
        <w:spacing w:line="360" w:lineRule="auto"/>
        <w:rPr>
          <w:rFonts w:ascii="宋体" w:hAnsi="宋体"/>
          <w:b/>
          <w:bCs/>
          <w:spacing w:val="4"/>
          <w:sz w:val="24"/>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2025002</w:t>
      </w:r>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14万</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bookmarkStart w:id="21" w:name="_GoBack"/>
      <w:bookmarkEnd w:id="21"/>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2024年5月19日14时00分。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2"/>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2"/>
        <w:jc w:val="center"/>
        <w:rPr>
          <w:rFonts w:ascii="宋体" w:hAnsi="宋体"/>
        </w:rPr>
      </w:pPr>
      <w:r>
        <w:rPr>
          <w:rFonts w:hint="eastAsia" w:ascii="宋体" w:hAnsi="宋体"/>
        </w:rPr>
        <w:t>第二部分 供应商须知</w:t>
      </w:r>
      <w:bookmarkEnd w:id="1"/>
    </w:p>
    <w:p w14:paraId="681D04D3">
      <w:pPr>
        <w:pStyle w:val="3"/>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3"/>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3"/>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53D5DD50">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3"/>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7231382">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3"/>
        <w:numPr>
          <w:ilvl w:val="0"/>
          <w:numId w:val="4"/>
        </w:numPr>
        <w:spacing w:before="0" w:after="0" w:line="420" w:lineRule="auto"/>
        <w:rPr>
          <w:rFonts w:ascii="宋体" w:hAnsi="宋体"/>
        </w:rPr>
      </w:pPr>
      <w:bookmarkStart w:id="6" w:name="_Toc5570"/>
      <w:bookmarkStart w:id="7" w:name="_Toc15601"/>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3"/>
        <w:numPr>
          <w:ilvl w:val="0"/>
          <w:numId w:val="4"/>
        </w:numPr>
        <w:spacing w:before="0" w:after="0" w:line="420" w:lineRule="auto"/>
        <w:rPr>
          <w:rFonts w:ascii="宋体" w:hAnsi="宋体"/>
        </w:rPr>
      </w:pPr>
      <w:bookmarkStart w:id="8" w:name="_Toc20318"/>
      <w:bookmarkStart w:id="9" w:name="_Toc7072"/>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0216C2DD">
      <w:pPr>
        <w:pStyle w:val="2"/>
        <w:keepNext/>
        <w:keepLines/>
        <w:pageBreakBefore w:val="0"/>
        <w:widowControl w:val="0"/>
        <w:kinsoku/>
        <w:wordWrap/>
        <w:overflowPunct/>
        <w:topLinePunct w:val="0"/>
        <w:autoSpaceDE/>
        <w:autoSpaceDN/>
        <w:bidi w:val="0"/>
        <w:adjustRightInd/>
        <w:snapToGrid/>
        <w:spacing w:before="100" w:line="360" w:lineRule="auto"/>
        <w:jc w:val="center"/>
        <w:textAlignment w:val="auto"/>
        <w:rPr>
          <w:rFonts w:hint="eastAsia"/>
        </w:rPr>
      </w:pPr>
      <w:r>
        <w:rPr>
          <w:rFonts w:hint="eastAsia"/>
        </w:rPr>
        <w:t xml:space="preserve">第三部分  </w:t>
      </w:r>
    </w:p>
    <w:p w14:paraId="51578564">
      <w:pPr>
        <w:keepNext w:val="0"/>
        <w:keepLines w:val="0"/>
        <w:pageBreakBefore w:val="0"/>
        <w:widowControl w:val="0"/>
        <w:kinsoku/>
        <w:wordWrap/>
        <w:overflowPunct/>
        <w:topLinePunct w:val="0"/>
        <w:autoSpaceDE/>
        <w:autoSpaceDN/>
        <w:bidi w:val="0"/>
        <w:adjustRightInd/>
        <w:spacing w:line="360" w:lineRule="auto"/>
        <w:textAlignment w:val="auto"/>
        <w:rPr>
          <w:rFonts w:hint="eastAsia"/>
          <w:b/>
          <w:bCs/>
          <w:sz w:val="28"/>
          <w:szCs w:val="28"/>
          <w:lang w:val="en-US" w:eastAsia="zh-CN"/>
        </w:rPr>
      </w:pPr>
      <w:r>
        <w:rPr>
          <w:rFonts w:hint="eastAsia"/>
          <w:b/>
          <w:bCs/>
          <w:sz w:val="28"/>
          <w:szCs w:val="28"/>
          <w:lang w:val="en-US" w:eastAsia="zh-CN"/>
        </w:rPr>
        <w:t>一、项目概况</w:t>
      </w:r>
    </w:p>
    <w:p w14:paraId="333EDFB1">
      <w:pPr>
        <w:spacing w:line="360" w:lineRule="auto"/>
        <w:ind w:firstLine="560" w:firstLineChars="200"/>
        <w:rPr>
          <w:rFonts w:hint="eastAsia" w:ascii="宋体" w:hAnsi="宋体" w:cs="宋体"/>
          <w:bCs/>
          <w:sz w:val="28"/>
          <w:szCs w:val="28"/>
        </w:rPr>
      </w:pPr>
      <w:r>
        <w:rPr>
          <w:rFonts w:hint="eastAsia" w:ascii="宋体" w:hAnsi="宋体" w:cs="宋体"/>
          <w:bCs/>
          <w:sz w:val="28"/>
          <w:szCs w:val="28"/>
        </w:rPr>
        <w:t>医学院信息化系统运行维护服务</w:t>
      </w:r>
      <w:r>
        <w:rPr>
          <w:rFonts w:hint="eastAsia" w:ascii="宋体" w:hAnsi="宋体" w:cs="宋体"/>
          <w:bCs/>
          <w:sz w:val="28"/>
          <w:szCs w:val="28"/>
          <w:lang w:val="en-US" w:eastAsia="zh-CN"/>
        </w:rPr>
        <w:t>项目，拟为</w:t>
      </w:r>
      <w:r>
        <w:rPr>
          <w:rFonts w:hint="eastAsia" w:ascii="宋体" w:hAnsi="宋体" w:cs="宋体"/>
          <w:bCs/>
          <w:sz w:val="28"/>
          <w:szCs w:val="28"/>
        </w:rPr>
        <w:t>江南大学无锡医学院（含数媒楼医学院区域）管理</w:t>
      </w:r>
      <w:r>
        <w:rPr>
          <w:rFonts w:hint="eastAsia" w:ascii="宋体" w:hAnsi="宋体" w:cs="宋体"/>
          <w:bCs/>
          <w:sz w:val="28"/>
          <w:szCs w:val="28"/>
          <w:lang w:val="en-US" w:eastAsia="zh-CN"/>
        </w:rPr>
        <w:t>的所有</w:t>
      </w:r>
      <w:r>
        <w:rPr>
          <w:rFonts w:hint="eastAsia" w:ascii="宋体" w:hAnsi="宋体" w:cs="宋体"/>
          <w:bCs/>
          <w:sz w:val="28"/>
          <w:szCs w:val="28"/>
        </w:rPr>
        <w:t>医学院教学实验室的智能管理系统</w:t>
      </w:r>
      <w:r>
        <w:rPr>
          <w:rFonts w:hint="eastAsia" w:ascii="宋体" w:hAnsi="宋体" w:cs="宋体"/>
          <w:bCs/>
          <w:sz w:val="28"/>
          <w:szCs w:val="28"/>
          <w:lang w:val="en-US" w:eastAsia="zh-CN"/>
        </w:rPr>
        <w:t>提供系统化、全天候的运行维保服务</w:t>
      </w:r>
      <w:r>
        <w:rPr>
          <w:rFonts w:hint="eastAsia" w:ascii="宋体" w:hAnsi="宋体" w:cs="宋体"/>
          <w:bCs/>
          <w:sz w:val="28"/>
          <w:szCs w:val="28"/>
        </w:rPr>
        <w:t>，</w:t>
      </w:r>
      <w:r>
        <w:rPr>
          <w:rFonts w:hint="eastAsia" w:ascii="宋体" w:hAnsi="宋体" w:cs="宋体"/>
          <w:bCs/>
          <w:sz w:val="28"/>
          <w:szCs w:val="28"/>
          <w:lang w:val="en-US" w:eastAsia="zh-CN"/>
        </w:rPr>
        <w:t>保障信息安全、系统运行、设备维护、终端使用，</w:t>
      </w:r>
      <w:r>
        <w:rPr>
          <w:rFonts w:hint="eastAsia" w:ascii="宋体" w:hAnsi="宋体" w:cs="宋体"/>
          <w:bCs/>
          <w:sz w:val="28"/>
          <w:szCs w:val="28"/>
        </w:rPr>
        <w:t>确保教学实验和科研平台预约系统正常有序使用，多间实验室智能刷卡端智能化管理，</w:t>
      </w:r>
      <w:r>
        <w:rPr>
          <w:rFonts w:hint="eastAsia" w:ascii="宋体" w:hAnsi="宋体" w:cs="宋体"/>
          <w:bCs/>
          <w:sz w:val="28"/>
          <w:szCs w:val="28"/>
          <w:lang w:val="en-US" w:eastAsia="zh-CN"/>
        </w:rPr>
        <w:t>保障</w:t>
      </w:r>
      <w:r>
        <w:rPr>
          <w:rFonts w:hint="eastAsia" w:ascii="宋体" w:hAnsi="宋体" w:cs="宋体"/>
          <w:bCs/>
          <w:sz w:val="28"/>
          <w:szCs w:val="28"/>
        </w:rPr>
        <w:t>云录播管理平台、多媒体集中控制管理系统、实验室管理系统、计算机用房（含131个实验室、会议室门禁）、信息发布系统（含各终端）等</w:t>
      </w:r>
      <w:r>
        <w:rPr>
          <w:rFonts w:hint="eastAsia" w:ascii="宋体" w:hAnsi="宋体" w:cs="宋体"/>
          <w:bCs/>
          <w:sz w:val="28"/>
          <w:szCs w:val="28"/>
          <w:lang w:val="en-US" w:eastAsia="zh-CN"/>
        </w:rPr>
        <w:t>正常使用，采购2年运行维护服务</w:t>
      </w:r>
      <w:r>
        <w:rPr>
          <w:rFonts w:hint="eastAsia" w:ascii="宋体" w:hAnsi="宋体" w:cs="宋体"/>
          <w:bCs/>
          <w:sz w:val="28"/>
          <w:szCs w:val="28"/>
        </w:rPr>
        <w:t>。</w:t>
      </w:r>
    </w:p>
    <w:p w14:paraId="00ED91CA">
      <w:pPr>
        <w:numPr>
          <w:ilvl w:val="0"/>
          <w:numId w:val="6"/>
        </w:numPr>
        <w:spacing w:line="360" w:lineRule="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目标</w:t>
      </w:r>
    </w:p>
    <w:p w14:paraId="5A974922">
      <w:pPr>
        <w:spacing w:line="360" w:lineRule="auto"/>
        <w:ind w:firstLine="560" w:firstLineChars="200"/>
        <w:rPr>
          <w:rFonts w:hint="eastAsia" w:ascii="宋体" w:hAnsi="宋体" w:cs="宋体"/>
          <w:bCs/>
          <w:sz w:val="28"/>
          <w:szCs w:val="28"/>
          <w:lang w:val="en-US" w:eastAsia="zh-CN"/>
        </w:rPr>
      </w:pPr>
      <w:r>
        <w:rPr>
          <w:rFonts w:hint="eastAsia" w:ascii="宋体" w:hAnsi="宋体" w:cs="宋体"/>
          <w:bCs/>
          <w:sz w:val="28"/>
          <w:szCs w:val="28"/>
        </w:rPr>
        <w:t>保障</w:t>
      </w:r>
      <w:r>
        <w:rPr>
          <w:rFonts w:hint="eastAsia" w:ascii="宋体" w:hAnsi="宋体" w:cs="宋体"/>
          <w:bCs/>
          <w:sz w:val="28"/>
          <w:szCs w:val="28"/>
          <w:lang w:val="en-US" w:eastAsia="zh-CN"/>
        </w:rPr>
        <w:t>所有医学院管辖的信息化系统</w:t>
      </w:r>
      <w:r>
        <w:rPr>
          <w:rFonts w:hint="eastAsia" w:ascii="宋体" w:hAnsi="宋体" w:cs="宋体"/>
          <w:bCs/>
          <w:sz w:val="28"/>
          <w:szCs w:val="28"/>
        </w:rPr>
        <w:t>信息安全、系统运行、设备维护、终端使用</w:t>
      </w:r>
      <w:r>
        <w:rPr>
          <w:rFonts w:hint="eastAsia" w:ascii="宋体" w:hAnsi="宋体" w:cs="宋体"/>
          <w:bCs/>
          <w:sz w:val="28"/>
          <w:szCs w:val="28"/>
          <w:lang w:val="en-US" w:eastAsia="zh-CN"/>
        </w:rPr>
        <w:t>等功能正常，各门禁系统、信息发布系统教学实验室系统等正常运行，发现故障及时维护，消除安全隐患，保障教学秩序。</w:t>
      </w:r>
    </w:p>
    <w:p w14:paraId="144F923E">
      <w:pPr>
        <w:numPr>
          <w:ilvl w:val="0"/>
          <w:numId w:val="6"/>
        </w:numPr>
        <w:spacing w:line="360" w:lineRule="auto"/>
        <w:ind w:left="0" w:leftChars="0" w:firstLine="0" w:firstLineChars="0"/>
        <w:rPr>
          <w:rFonts w:hint="eastAsia" w:ascii="宋体" w:hAnsi="宋体" w:cs="宋体"/>
          <w:bCs/>
          <w:sz w:val="28"/>
          <w:szCs w:val="28"/>
        </w:rPr>
      </w:pPr>
      <w:r>
        <w:rPr>
          <w:rFonts w:hint="eastAsia" w:ascii="宋体" w:hAnsi="宋体" w:cs="宋体"/>
          <w:b/>
          <w:bCs w:val="0"/>
          <w:sz w:val="28"/>
          <w:szCs w:val="28"/>
          <w:lang w:val="en-US" w:eastAsia="zh-CN"/>
        </w:rPr>
        <w:t>服务内容</w:t>
      </w:r>
      <w:r>
        <w:rPr>
          <w:rFonts w:hint="eastAsia" w:ascii="宋体" w:hAnsi="宋体" w:cs="宋体"/>
          <w:b/>
          <w:bCs w:val="0"/>
          <w:sz w:val="28"/>
          <w:szCs w:val="28"/>
        </w:rPr>
        <w:t xml:space="preserve"> </w:t>
      </w:r>
      <w:r>
        <w:rPr>
          <w:rFonts w:hint="eastAsia" w:ascii="宋体" w:hAnsi="宋体" w:cs="宋体"/>
          <w:bCs/>
          <w:sz w:val="28"/>
          <w:szCs w:val="28"/>
        </w:rPr>
        <w:t xml:space="preserve"> </w:t>
      </w:r>
    </w:p>
    <w:p w14:paraId="3328B264">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检查操作电脑和控制软件是否正常使用</w:t>
      </w:r>
    </w:p>
    <w:p w14:paraId="636C219E">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多媒体教室管理系统</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门厅大屏发布软件</w:t>
      </w:r>
    </w:p>
    <w:p w14:paraId="46AAD856">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检查各集控平台中教室设备是否全部在线；</w:t>
      </w:r>
    </w:p>
    <w:p w14:paraId="7A705E21">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检查录播平台能否正常打开，所有教室图像是否正常,各教室是否按照课表录像，并检查前一天录像是否正常（随机抽查10-15个视频，三画面是否都有，声音是否正常）；</w:t>
      </w:r>
    </w:p>
    <w:p w14:paraId="660E8E36">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检查服务器是否正常，后台服务是否正常工作</w:t>
      </w:r>
    </w:p>
    <w:p w14:paraId="5D1E7668">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检查实验室管理系统数据库服务器服务运行是否正常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14:paraId="4ECCA142">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检查录播系统数据库服务器服务运行是否正常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每天检查数据备份文件是否已备份（智慧教室数据库），保存在指定文件夹中。</w:t>
      </w:r>
    </w:p>
    <w:p w14:paraId="604249F0">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检查实验室门禁终端是否全部在线</w:t>
      </w:r>
    </w:p>
    <w:p w14:paraId="5D6B0225">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检查磁盘阵列各盘位硬盘状态是否正常；</w:t>
      </w:r>
    </w:p>
    <w:p w14:paraId="51C87C7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校对各服务器和操作电脑的时间是否正确，并检查服务器剩余空间；</w:t>
      </w:r>
    </w:p>
    <w:p w14:paraId="2E99E22A">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日常维修记录（巡检和每天报修故障及解决方案填写）；</w:t>
      </w:r>
    </w:p>
    <w:p w14:paraId="225F3896">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每周对所有录课设备进行试录像15分钟，并随机下载10-20个录像抽查，看录像是否正常，并拍照上传工作日志，然后删除当天测试录像；</w:t>
      </w:r>
    </w:p>
    <w:p w14:paraId="641985BB">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每学期开学，录播系统导入课表，实验室管理系统导入课表，智慧教室和多媒体教学平台做好当前学期的课表对接，课表对接、师生信息对接有问题联系信管中心。</w:t>
      </w:r>
    </w:p>
    <w:p w14:paraId="17940EDA">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学校维护设备整体巡检（开学前、学期中旬、学期末各安排一次整体巡检，如学校有特殊要求，则按照学校要求巡检，巡检结束，校方签字确认后甲乙双方各保留一份）</w:t>
      </w:r>
    </w:p>
    <w:p w14:paraId="0C86F971">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医学院所辖区域医学大楼、数媒楼内教职员工的日常信息化报修、安装和保障服务，包括电脑、网络设备等。</w:t>
      </w:r>
    </w:p>
    <w:p w14:paraId="24DE64AC">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人员要求：</w:t>
      </w:r>
    </w:p>
    <w:p w14:paraId="0259A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cs="宋体"/>
          <w:bCs/>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提供1人常驻维保，24 小时维保热线，24*365 天随时接受甲方的服务请求；接到甲方服务请求后</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工作日需</w:t>
      </w:r>
      <w:r>
        <w:rPr>
          <w:rFonts w:hint="eastAsia" w:asciiTheme="minorEastAsia" w:hAnsiTheme="minorEastAsia" w:eastAsiaTheme="minorEastAsia" w:cstheme="minorEastAsia"/>
          <w:color w:val="000000" w:themeColor="text1"/>
          <w:sz w:val="28"/>
          <w:szCs w:val="28"/>
          <w14:textFill>
            <w14:solidFill>
              <w14:schemeClr w14:val="tx1"/>
            </w14:solidFill>
          </w14:textFill>
        </w:rPr>
        <w:t>派专业工程师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小时内到达现场。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相关人员有相关的经验2年以上。</w:t>
      </w:r>
      <w:r>
        <w:rPr>
          <w:rFonts w:hint="eastAsia" w:ascii="宋体" w:hAnsi="宋体" w:cs="宋体"/>
          <w:bCs/>
          <w:sz w:val="28"/>
          <w:szCs w:val="28"/>
        </w:rPr>
        <w:t xml:space="preserve"> </w:t>
      </w:r>
    </w:p>
    <w:p w14:paraId="66C5184F">
      <w:pPr>
        <w:pStyle w:val="31"/>
        <w:spacing w:line="360" w:lineRule="auto"/>
        <w:rPr>
          <w:rFonts w:hint="default" w:ascii="宋体" w:hAnsi="宋体" w:cs="宋体"/>
          <w:bCs/>
          <w:sz w:val="28"/>
          <w:szCs w:val="28"/>
          <w:lang w:val="en-US"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服务单位需每半年提交一次工作量完成情况表、服务记录和服务分析报告，报备学院。</w:t>
      </w:r>
      <w:r>
        <w:rPr>
          <w:rFonts w:hint="eastAsia" w:ascii="宋体" w:hAnsi="宋体" w:cs="宋体"/>
          <w:bCs/>
          <w:sz w:val="28"/>
          <w:szCs w:val="28"/>
        </w:rPr>
        <w:t xml:space="preserve"> </w:t>
      </w:r>
    </w:p>
    <w:p w14:paraId="3ECCF381">
      <w:pPr>
        <w:numPr>
          <w:ilvl w:val="0"/>
          <w:numId w:val="7"/>
        </w:numPr>
        <w:spacing w:before="340" w:after="330" w:line="360" w:lineRule="auto"/>
        <w:jc w:val="center"/>
        <w:rPr>
          <w:rFonts w:hint="default"/>
          <w:b/>
          <w:bCs/>
          <w:sz w:val="44"/>
          <w:szCs w:val="44"/>
          <w:lang w:val="en-US" w:eastAsia="zh-CN"/>
        </w:rPr>
      </w:pPr>
      <w:r>
        <w:rPr>
          <w:rFonts w:hint="eastAsia"/>
          <w:b/>
          <w:bCs/>
          <w:sz w:val="44"/>
          <w:szCs w:val="44"/>
        </w:rPr>
        <w:t>合同主要条款</w:t>
      </w:r>
      <w:bookmarkStart w:id="10" w:name="_Toc511029427"/>
      <w:bookmarkStart w:id="11" w:name="_Toc498632778"/>
    </w:p>
    <w:p w14:paraId="14C80897">
      <w:pPr>
        <w:pBdr>
          <w:top w:val="none" w:color="auto" w:sz="0" w:space="1"/>
          <w:left w:val="none" w:color="auto" w:sz="0" w:space="4"/>
          <w:bottom w:val="none" w:color="auto" w:sz="0" w:space="1"/>
          <w:right w:val="none" w:color="auto" w:sz="0" w:space="4"/>
        </w:pBdr>
        <w:spacing w:line="360" w:lineRule="auto"/>
        <w:ind w:firstLine="562" w:firstLineChars="200"/>
        <w:jc w:val="left"/>
        <w:rPr>
          <w:rFonts w:hint="default" w:eastAsia="宋体"/>
          <w:sz w:val="28"/>
          <w:szCs w:val="28"/>
          <w:lang w:val="en-US" w:eastAsia="zh-CN"/>
        </w:rPr>
      </w:pPr>
      <w:r>
        <w:rPr>
          <w:rFonts w:hint="eastAsia" w:ascii="宋体" w:hAnsi="宋体" w:eastAsia="宋体" w:cs="宋体"/>
          <w:b/>
          <w:sz w:val="28"/>
          <w:szCs w:val="28"/>
        </w:rPr>
        <w:t>1、</w:t>
      </w:r>
      <w:r>
        <w:rPr>
          <w:rFonts w:hint="eastAsia" w:ascii="宋体" w:hAnsi="宋体" w:eastAsia="宋体" w:cs="宋体"/>
          <w:b/>
          <w:sz w:val="28"/>
          <w:szCs w:val="28"/>
          <w:lang w:val="en-US" w:eastAsia="zh-CN"/>
        </w:rPr>
        <w:t>服务周</w:t>
      </w:r>
      <w:r>
        <w:rPr>
          <w:rFonts w:hint="eastAsia" w:ascii="宋体" w:hAnsi="宋体" w:eastAsia="宋体" w:cs="宋体"/>
          <w:b/>
          <w:sz w:val="28"/>
          <w:szCs w:val="28"/>
        </w:rPr>
        <w:t>期</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2年</w:t>
      </w:r>
    </w:p>
    <w:p w14:paraId="17986574">
      <w:pPr>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val="en-US" w:eastAsia="zh-CN"/>
        </w:rPr>
        <w:t>服务</w:t>
      </w:r>
      <w:r>
        <w:rPr>
          <w:rFonts w:hint="eastAsia" w:ascii="宋体" w:hAnsi="宋体" w:eastAsia="宋体" w:cs="宋体"/>
          <w:b/>
          <w:sz w:val="28"/>
          <w:szCs w:val="28"/>
        </w:rPr>
        <w:t>地点</w:t>
      </w:r>
    </w:p>
    <w:p w14:paraId="4DB05EE2">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江苏省无锡市蠡湖大道1800号江南大学。</w:t>
      </w:r>
    </w:p>
    <w:p w14:paraId="57780E2D">
      <w:pPr>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3、付款方式</w:t>
      </w:r>
    </w:p>
    <w:p w14:paraId="1762DE7C">
      <w:pPr>
        <w:pStyle w:val="31"/>
        <w:spacing w:line="360" w:lineRule="auto"/>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Miss Sweetie" w:hAnsi="Miss Sweetie" w:eastAsia="宋体" w:cs="Miss Sweetie"/>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（1）签订合同后，依据考核情况，每半年支付一次，每次支付本合同总金额的25%。总计支付4次。</w:t>
      </w:r>
    </w:p>
    <w:p w14:paraId="71CE6244">
      <w:pPr>
        <w:pStyle w:val="31"/>
        <w:spacing w:line="360" w:lineRule="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（2）江南大学无锡医学院根据之前半年度信息化维保情况，决定费用支付；存在工作量不达标、完成质量较差、发生较大安全生产问题的，经学院党政联席会审议后，可以有权不支付或终止合同。</w:t>
      </w:r>
    </w:p>
    <w:p w14:paraId="288CAEB2">
      <w:pPr>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、知识产权</w:t>
      </w:r>
    </w:p>
    <w:p w14:paraId="7F1BACED">
      <w:pPr>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（1）因本协议产生的开发成果(包括源代码、系统技术文档、软件、数据等)由校方享有知识产权。未经校方书面许可，卖方不得许可第三方阅读、使用或复制。</w:t>
      </w:r>
    </w:p>
    <w:p w14:paraId="48C46497">
      <w:pPr>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（2）卖方保证其开发成果及其开发过程不侵犯第三人的知识产权，如第三方以该产品侵犯知识产权为由提起诉讼，卖方将承担全部责任，校方不承担任何直接或间接责任。如造成校方损失的，卖方应予以赔偿。</w:t>
      </w:r>
    </w:p>
    <w:p w14:paraId="1FF628D6">
      <w:pPr>
        <w:spacing w:line="360" w:lineRule="auto"/>
        <w:ind w:firstLine="562" w:firstLineChars="200"/>
        <w:jc w:val="left"/>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5、信息安全和个人隐私保护条款</w:t>
      </w:r>
    </w:p>
    <w:p w14:paraId="70A004FB">
      <w:pPr>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（1）校方提供的任何数据信息、工作流程、文档、技术、程序代码、设计、图说、构图等，无论校方是否已明示为应保密的信息，无论校方是以书面、口头、实体展示或其他方式揭露予卖方者，均属保密资料；</w:t>
      </w:r>
    </w:p>
    <w:p w14:paraId="480FF9EF">
      <w:pPr>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未经许可，卖方于任何情形下，不得以口头、书面、影印、复制、摄影、传阅或其它类似的行为，使应保密的资料被第三方知悉。因卖方受雇人、使用人、代理人、受任人泄露校方秘密者，均应视为卖方的行为，由卖方与该行为人连带负担一切责任；</w:t>
      </w:r>
    </w:p>
    <w:p w14:paraId="70F1EC6D">
      <w:pPr>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（3）校方如发现因卖方原因使得校方秘密遭泄露，并造成校方极大损失时，卖方必须承担相关责任；校方同时停止为卖方提供任何技术服务和信息数据等。情节严重者，将追究卖方法律责任。</w:t>
      </w:r>
    </w:p>
    <w:p w14:paraId="1759D59A">
      <w:pPr>
        <w:spacing w:line="360" w:lineRule="auto"/>
        <w:ind w:firstLine="560" w:firstLineChars="200"/>
        <w:jc w:val="left"/>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（4）卖方人员因开发、测试及维护等工作，登录本系统（软件）必须留下操作日志，账号信息应在校方备案。</w:t>
      </w:r>
    </w:p>
    <w:p w14:paraId="1D5D710D">
      <w:pPr>
        <w:spacing w:line="360" w:lineRule="auto"/>
        <w:ind w:firstLine="560" w:firstLineChars="200"/>
        <w:jc w:val="left"/>
        <w:rPr>
          <w:rFonts w:hint="default"/>
          <w:b/>
          <w:bCs/>
          <w:sz w:val="28"/>
          <w:szCs w:val="28"/>
          <w:lang w:val="en-US" w:eastAsia="zh-CN"/>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（5）卖方如需远程服务器，必须提前告知校方并留下操作日志。</w:t>
      </w:r>
    </w:p>
    <w:p w14:paraId="4A9A1CA2">
      <w:pPr>
        <w:pStyle w:val="3"/>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0"/>
    <w:bookmarkEnd w:id="11"/>
    <w:p w14:paraId="271A76F7">
      <w:pPr>
        <w:spacing w:line="360" w:lineRule="auto"/>
        <w:rPr>
          <w:rFonts w:ascii="宋体" w:hAnsi="宋体"/>
          <w:spacing w:val="4"/>
          <w:sz w:val="24"/>
        </w:rPr>
      </w:pPr>
      <w:bookmarkStart w:id="12"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3E78EC2E">
      <w:pPr>
        <w:rPr>
          <w:rFonts w:ascii="宋体" w:hAnsi="宋体"/>
          <w:szCs w:val="21"/>
        </w:rPr>
      </w:pPr>
      <w:bookmarkStart w:id="13" w:name="_Toc2461"/>
    </w:p>
    <w:p w14:paraId="50415819">
      <w:pPr>
        <w:rPr>
          <w:rFonts w:ascii="宋体" w:hAnsi="宋体"/>
          <w:szCs w:val="21"/>
        </w:rPr>
      </w:pPr>
    </w:p>
    <w:p w14:paraId="7E2E1144">
      <w:pPr>
        <w:rPr>
          <w:rFonts w:ascii="宋体" w:hAnsi="宋体"/>
          <w:szCs w:val="21"/>
        </w:rPr>
      </w:pPr>
    </w:p>
    <w:p w14:paraId="0F618FB2">
      <w:pPr>
        <w:rPr>
          <w:rFonts w:ascii="宋体" w:hAnsi="宋体"/>
          <w:szCs w:val="21"/>
        </w:rPr>
      </w:pPr>
    </w:p>
    <w:p w14:paraId="2144202A">
      <w:pPr>
        <w:rPr>
          <w:rFonts w:ascii="宋体" w:hAnsi="宋体"/>
          <w:szCs w:val="21"/>
        </w:rPr>
      </w:pPr>
    </w:p>
    <w:p w14:paraId="635A115E"/>
    <w:p w14:paraId="5BBB980E">
      <w:pPr>
        <w:rPr>
          <w:rFonts w:ascii="宋体" w:hAnsi="宋体"/>
          <w:szCs w:val="21"/>
        </w:rPr>
      </w:pPr>
    </w:p>
    <w:p w14:paraId="7C0ABF32">
      <w:pPr>
        <w:rPr>
          <w:rFonts w:ascii="宋体" w:hAnsi="宋体"/>
          <w:szCs w:val="21"/>
        </w:rPr>
      </w:pPr>
    </w:p>
    <w:p w14:paraId="1A0117B3">
      <w:pPr>
        <w:rPr>
          <w:rFonts w:ascii="宋体" w:hAnsi="宋体"/>
          <w:szCs w:val="21"/>
        </w:rPr>
      </w:pPr>
      <w:r>
        <w:rPr>
          <w:rFonts w:ascii="宋体" w:hAnsi="宋体"/>
          <w:szCs w:val="21"/>
        </w:rPr>
        <w:br w:type="page"/>
      </w:r>
    </w:p>
    <w:p w14:paraId="2D83B107">
      <w:pPr>
        <w:pStyle w:val="3"/>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3"/>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4"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4"/>
    <w:p w14:paraId="31BED7C5">
      <w:pPr>
        <w:spacing w:after="156" w:afterLines="50"/>
        <w:rPr>
          <w:sz w:val="52"/>
          <w:szCs w:val="52"/>
        </w:rPr>
      </w:pPr>
    </w:p>
    <w:p w14:paraId="46D5B04F">
      <w:pPr>
        <w:pStyle w:val="3"/>
        <w:spacing w:before="0" w:after="0" w:line="360" w:lineRule="auto"/>
        <w:rPr>
          <w:rFonts w:ascii="宋体" w:hAnsi="宋体"/>
          <w:b w:val="0"/>
          <w:sz w:val="21"/>
          <w:szCs w:val="21"/>
        </w:rPr>
      </w:pPr>
      <w:bookmarkStart w:id="15" w:name="_Toc24606"/>
      <w:bookmarkStart w:id="16" w:name="_Toc511743426"/>
    </w:p>
    <w:p w14:paraId="24402164">
      <w:pPr>
        <w:rPr>
          <w:rFonts w:ascii="宋体" w:hAnsi="宋体"/>
          <w:szCs w:val="21"/>
        </w:rPr>
      </w:pPr>
      <w:r>
        <w:rPr>
          <w:rFonts w:ascii="宋体" w:hAnsi="宋体"/>
          <w:szCs w:val="21"/>
        </w:rPr>
        <w:br w:type="page"/>
      </w:r>
    </w:p>
    <w:p w14:paraId="6DD4F41B">
      <w:pPr>
        <w:pStyle w:val="3"/>
        <w:spacing w:before="0" w:after="0" w:line="360" w:lineRule="auto"/>
        <w:rPr>
          <w:rFonts w:ascii="宋体" w:hAnsi="宋体"/>
          <w:b w:val="0"/>
          <w:sz w:val="24"/>
          <w:szCs w:val="24"/>
        </w:rPr>
      </w:pPr>
      <w:r>
        <w:rPr>
          <w:rFonts w:hint="eastAsia" w:ascii="宋体" w:hAnsi="宋体"/>
          <w:b w:val="0"/>
          <w:sz w:val="24"/>
          <w:szCs w:val="24"/>
        </w:rPr>
        <w:t>附件2：投标函</w:t>
      </w:r>
      <w:bookmarkEnd w:id="15"/>
      <w:bookmarkEnd w:id="16"/>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2"/>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3"/>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2"/>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2"/>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2"/>
              <w:spacing w:line="240" w:lineRule="atLeast"/>
              <w:jc w:val="center"/>
              <w:rPr>
                <w:rFonts w:asciiTheme="minorEastAsia" w:hAnsiTheme="minorEastAsia" w:eastAsiaTheme="minorEastAsia"/>
                <w:szCs w:val="24"/>
              </w:rPr>
            </w:pPr>
          </w:p>
        </w:tc>
        <w:tc>
          <w:tcPr>
            <w:tcW w:w="3889" w:type="dxa"/>
            <w:vAlign w:val="center"/>
          </w:tcPr>
          <w:p w14:paraId="37385E3A">
            <w:pPr>
              <w:pStyle w:val="12"/>
              <w:spacing w:line="240" w:lineRule="atLeast"/>
              <w:jc w:val="center"/>
              <w:rPr>
                <w:rFonts w:asciiTheme="minorEastAsia" w:hAnsiTheme="minorEastAsia" w:eastAsiaTheme="minorEastAsia"/>
                <w:szCs w:val="24"/>
              </w:rPr>
            </w:pPr>
          </w:p>
        </w:tc>
        <w:tc>
          <w:tcPr>
            <w:tcW w:w="1510" w:type="dxa"/>
            <w:vAlign w:val="center"/>
          </w:tcPr>
          <w:p w14:paraId="1006610D">
            <w:pPr>
              <w:pStyle w:val="12"/>
              <w:spacing w:line="240" w:lineRule="atLeast"/>
              <w:jc w:val="center"/>
              <w:rPr>
                <w:rFonts w:asciiTheme="minorEastAsia" w:hAnsiTheme="minorEastAsia" w:eastAsiaTheme="minorEastAsia"/>
                <w:szCs w:val="24"/>
              </w:rPr>
            </w:pPr>
          </w:p>
        </w:tc>
        <w:tc>
          <w:tcPr>
            <w:tcW w:w="1342" w:type="dxa"/>
            <w:vAlign w:val="center"/>
          </w:tcPr>
          <w:p w14:paraId="726559E8">
            <w:pPr>
              <w:pStyle w:val="12"/>
              <w:spacing w:line="360" w:lineRule="auto"/>
              <w:jc w:val="center"/>
              <w:rPr>
                <w:rFonts w:asciiTheme="minorEastAsia" w:hAnsiTheme="minorEastAsia" w:eastAsiaTheme="minorEastAsia"/>
                <w:szCs w:val="24"/>
              </w:rPr>
            </w:pPr>
          </w:p>
        </w:tc>
        <w:tc>
          <w:tcPr>
            <w:tcW w:w="1229" w:type="dxa"/>
            <w:vAlign w:val="center"/>
          </w:tcPr>
          <w:p w14:paraId="50FC9A3B">
            <w:pPr>
              <w:pStyle w:val="12"/>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2"/>
              <w:spacing w:line="240" w:lineRule="atLeast"/>
              <w:jc w:val="center"/>
              <w:rPr>
                <w:rFonts w:asciiTheme="minorEastAsia" w:hAnsiTheme="minorEastAsia" w:eastAsiaTheme="minorEastAsia"/>
                <w:szCs w:val="24"/>
              </w:rPr>
            </w:pPr>
          </w:p>
        </w:tc>
        <w:tc>
          <w:tcPr>
            <w:tcW w:w="3889" w:type="dxa"/>
            <w:vAlign w:val="center"/>
          </w:tcPr>
          <w:p w14:paraId="1508C1AE">
            <w:pPr>
              <w:pStyle w:val="12"/>
              <w:spacing w:line="240" w:lineRule="atLeast"/>
              <w:jc w:val="center"/>
              <w:rPr>
                <w:rFonts w:asciiTheme="minorEastAsia" w:hAnsiTheme="minorEastAsia" w:eastAsiaTheme="minorEastAsia"/>
                <w:szCs w:val="24"/>
              </w:rPr>
            </w:pPr>
          </w:p>
        </w:tc>
        <w:tc>
          <w:tcPr>
            <w:tcW w:w="1510" w:type="dxa"/>
            <w:vAlign w:val="center"/>
          </w:tcPr>
          <w:p w14:paraId="4473FEB8">
            <w:pPr>
              <w:pStyle w:val="12"/>
              <w:spacing w:line="240" w:lineRule="atLeast"/>
              <w:jc w:val="center"/>
              <w:rPr>
                <w:rFonts w:asciiTheme="minorEastAsia" w:hAnsiTheme="minorEastAsia" w:eastAsiaTheme="minorEastAsia"/>
                <w:szCs w:val="24"/>
              </w:rPr>
            </w:pPr>
          </w:p>
        </w:tc>
        <w:tc>
          <w:tcPr>
            <w:tcW w:w="1342" w:type="dxa"/>
            <w:vAlign w:val="center"/>
          </w:tcPr>
          <w:p w14:paraId="22065AF0">
            <w:pPr>
              <w:pStyle w:val="12"/>
              <w:spacing w:line="360" w:lineRule="auto"/>
              <w:jc w:val="center"/>
              <w:rPr>
                <w:rFonts w:asciiTheme="minorEastAsia" w:hAnsiTheme="minorEastAsia" w:eastAsiaTheme="minorEastAsia"/>
                <w:szCs w:val="24"/>
              </w:rPr>
            </w:pPr>
          </w:p>
        </w:tc>
        <w:tc>
          <w:tcPr>
            <w:tcW w:w="1229" w:type="dxa"/>
            <w:vAlign w:val="center"/>
          </w:tcPr>
          <w:p w14:paraId="5829E198">
            <w:pPr>
              <w:pStyle w:val="12"/>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2"/>
              <w:spacing w:line="240" w:lineRule="atLeast"/>
              <w:jc w:val="center"/>
              <w:rPr>
                <w:rFonts w:asciiTheme="minorEastAsia" w:hAnsiTheme="minorEastAsia" w:eastAsiaTheme="minorEastAsia"/>
                <w:szCs w:val="24"/>
              </w:rPr>
            </w:pPr>
          </w:p>
        </w:tc>
        <w:tc>
          <w:tcPr>
            <w:tcW w:w="3889" w:type="dxa"/>
            <w:vAlign w:val="center"/>
          </w:tcPr>
          <w:p w14:paraId="6D402DD3">
            <w:pPr>
              <w:pStyle w:val="12"/>
              <w:spacing w:line="240" w:lineRule="atLeast"/>
              <w:jc w:val="center"/>
              <w:rPr>
                <w:rFonts w:asciiTheme="minorEastAsia" w:hAnsiTheme="minorEastAsia" w:eastAsiaTheme="minorEastAsia"/>
                <w:szCs w:val="24"/>
              </w:rPr>
            </w:pPr>
          </w:p>
        </w:tc>
        <w:tc>
          <w:tcPr>
            <w:tcW w:w="1510" w:type="dxa"/>
            <w:vAlign w:val="center"/>
          </w:tcPr>
          <w:p w14:paraId="66E614E5">
            <w:pPr>
              <w:pStyle w:val="12"/>
              <w:spacing w:line="240" w:lineRule="atLeast"/>
              <w:jc w:val="center"/>
              <w:rPr>
                <w:rFonts w:asciiTheme="minorEastAsia" w:hAnsiTheme="minorEastAsia" w:eastAsiaTheme="minorEastAsia"/>
                <w:szCs w:val="24"/>
              </w:rPr>
            </w:pPr>
          </w:p>
        </w:tc>
        <w:tc>
          <w:tcPr>
            <w:tcW w:w="1342" w:type="dxa"/>
            <w:vAlign w:val="center"/>
          </w:tcPr>
          <w:p w14:paraId="2EA45A05">
            <w:pPr>
              <w:pStyle w:val="12"/>
              <w:spacing w:line="360" w:lineRule="auto"/>
              <w:jc w:val="center"/>
              <w:rPr>
                <w:rFonts w:asciiTheme="minorEastAsia" w:hAnsiTheme="minorEastAsia" w:eastAsiaTheme="minorEastAsia"/>
                <w:szCs w:val="24"/>
              </w:rPr>
            </w:pPr>
          </w:p>
        </w:tc>
        <w:tc>
          <w:tcPr>
            <w:tcW w:w="1229" w:type="dxa"/>
            <w:vAlign w:val="center"/>
          </w:tcPr>
          <w:p w14:paraId="3EA65904">
            <w:pPr>
              <w:pStyle w:val="12"/>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2"/>
              <w:spacing w:line="240" w:lineRule="atLeast"/>
              <w:jc w:val="center"/>
              <w:rPr>
                <w:rFonts w:asciiTheme="minorEastAsia" w:hAnsiTheme="minorEastAsia" w:eastAsiaTheme="minorEastAsia"/>
                <w:szCs w:val="24"/>
              </w:rPr>
            </w:pPr>
          </w:p>
        </w:tc>
        <w:tc>
          <w:tcPr>
            <w:tcW w:w="3889" w:type="dxa"/>
            <w:vAlign w:val="center"/>
          </w:tcPr>
          <w:p w14:paraId="013D9178">
            <w:pPr>
              <w:pStyle w:val="12"/>
              <w:spacing w:line="240" w:lineRule="atLeast"/>
              <w:jc w:val="center"/>
              <w:rPr>
                <w:rFonts w:asciiTheme="minorEastAsia" w:hAnsiTheme="minorEastAsia" w:eastAsiaTheme="minorEastAsia"/>
                <w:szCs w:val="24"/>
              </w:rPr>
            </w:pPr>
          </w:p>
        </w:tc>
        <w:tc>
          <w:tcPr>
            <w:tcW w:w="1510" w:type="dxa"/>
            <w:vAlign w:val="center"/>
          </w:tcPr>
          <w:p w14:paraId="1652D792">
            <w:pPr>
              <w:pStyle w:val="12"/>
              <w:spacing w:line="240" w:lineRule="atLeast"/>
              <w:jc w:val="center"/>
              <w:rPr>
                <w:rFonts w:asciiTheme="minorEastAsia" w:hAnsiTheme="minorEastAsia" w:eastAsiaTheme="minorEastAsia"/>
                <w:szCs w:val="24"/>
              </w:rPr>
            </w:pPr>
          </w:p>
        </w:tc>
        <w:tc>
          <w:tcPr>
            <w:tcW w:w="1342" w:type="dxa"/>
            <w:vAlign w:val="center"/>
          </w:tcPr>
          <w:p w14:paraId="535A130E">
            <w:pPr>
              <w:pStyle w:val="12"/>
              <w:spacing w:line="360" w:lineRule="auto"/>
              <w:jc w:val="center"/>
              <w:rPr>
                <w:rFonts w:asciiTheme="minorEastAsia" w:hAnsiTheme="minorEastAsia" w:eastAsiaTheme="minorEastAsia"/>
                <w:szCs w:val="24"/>
              </w:rPr>
            </w:pPr>
          </w:p>
        </w:tc>
        <w:tc>
          <w:tcPr>
            <w:tcW w:w="1229" w:type="dxa"/>
            <w:vAlign w:val="center"/>
          </w:tcPr>
          <w:p w14:paraId="541B6DF1">
            <w:pPr>
              <w:pStyle w:val="12"/>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2"/>
              <w:spacing w:line="240" w:lineRule="atLeast"/>
              <w:jc w:val="center"/>
              <w:rPr>
                <w:rFonts w:asciiTheme="minorEastAsia" w:hAnsiTheme="minorEastAsia" w:eastAsiaTheme="minorEastAsia"/>
                <w:szCs w:val="24"/>
              </w:rPr>
            </w:pPr>
          </w:p>
        </w:tc>
        <w:tc>
          <w:tcPr>
            <w:tcW w:w="3889" w:type="dxa"/>
            <w:vAlign w:val="center"/>
          </w:tcPr>
          <w:p w14:paraId="73FEF1B3">
            <w:pPr>
              <w:pStyle w:val="12"/>
              <w:spacing w:line="240" w:lineRule="atLeast"/>
              <w:jc w:val="center"/>
              <w:rPr>
                <w:rFonts w:asciiTheme="minorEastAsia" w:hAnsiTheme="minorEastAsia" w:eastAsiaTheme="minorEastAsia"/>
                <w:szCs w:val="24"/>
              </w:rPr>
            </w:pPr>
          </w:p>
        </w:tc>
        <w:tc>
          <w:tcPr>
            <w:tcW w:w="1510" w:type="dxa"/>
            <w:vAlign w:val="center"/>
          </w:tcPr>
          <w:p w14:paraId="2A6EB54A">
            <w:pPr>
              <w:pStyle w:val="12"/>
              <w:spacing w:line="240" w:lineRule="atLeast"/>
              <w:jc w:val="center"/>
              <w:rPr>
                <w:rFonts w:asciiTheme="minorEastAsia" w:hAnsiTheme="minorEastAsia" w:eastAsiaTheme="minorEastAsia"/>
                <w:szCs w:val="24"/>
              </w:rPr>
            </w:pPr>
          </w:p>
        </w:tc>
        <w:tc>
          <w:tcPr>
            <w:tcW w:w="1342" w:type="dxa"/>
            <w:vAlign w:val="center"/>
          </w:tcPr>
          <w:p w14:paraId="141CF976">
            <w:pPr>
              <w:pStyle w:val="12"/>
              <w:spacing w:line="360" w:lineRule="auto"/>
              <w:jc w:val="center"/>
              <w:rPr>
                <w:rFonts w:asciiTheme="minorEastAsia" w:hAnsiTheme="minorEastAsia" w:eastAsiaTheme="minorEastAsia"/>
                <w:szCs w:val="24"/>
              </w:rPr>
            </w:pPr>
          </w:p>
        </w:tc>
        <w:tc>
          <w:tcPr>
            <w:tcW w:w="1229" w:type="dxa"/>
            <w:vAlign w:val="center"/>
          </w:tcPr>
          <w:p w14:paraId="51F2A759">
            <w:pPr>
              <w:pStyle w:val="12"/>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2"/>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2"/>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7" w:name="_Toc511029430"/>
    </w:p>
    <w:p w14:paraId="3E42775E">
      <w:pPr>
        <w:pStyle w:val="3"/>
        <w:spacing w:before="0" w:after="0" w:line="360" w:lineRule="auto"/>
        <w:rPr>
          <w:rFonts w:ascii="宋体" w:hAnsi="宋体"/>
          <w:b w:val="0"/>
          <w:sz w:val="21"/>
          <w:szCs w:val="21"/>
        </w:rPr>
      </w:pPr>
      <w:bookmarkStart w:id="18" w:name="_Toc15870"/>
    </w:p>
    <w:p w14:paraId="6D8F2A32">
      <w:pPr>
        <w:pStyle w:val="3"/>
        <w:spacing w:before="0" w:after="0" w:line="360" w:lineRule="auto"/>
        <w:rPr>
          <w:rFonts w:ascii="宋体" w:hAnsi="宋体"/>
          <w:b w:val="0"/>
          <w:sz w:val="21"/>
          <w:szCs w:val="21"/>
        </w:rPr>
      </w:pPr>
    </w:p>
    <w:p w14:paraId="457A965B">
      <w:pPr>
        <w:pStyle w:val="3"/>
        <w:spacing w:before="0" w:after="0" w:line="360" w:lineRule="auto"/>
        <w:rPr>
          <w:rFonts w:ascii="宋体" w:hAnsi="宋体"/>
          <w:b w:val="0"/>
          <w:sz w:val="21"/>
          <w:szCs w:val="21"/>
        </w:rPr>
      </w:pPr>
    </w:p>
    <w:p w14:paraId="286CD378">
      <w:pPr>
        <w:pStyle w:val="3"/>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3"/>
        <w:spacing w:before="0" w:after="0" w:line="360" w:lineRule="auto"/>
        <w:rPr>
          <w:rFonts w:ascii="宋体" w:hAnsi="宋体"/>
          <w:sz w:val="24"/>
          <w:szCs w:val="24"/>
        </w:rPr>
      </w:pPr>
      <w:r>
        <w:rPr>
          <w:rFonts w:hint="eastAsia" w:ascii="宋体" w:hAnsi="宋体"/>
          <w:b w:val="0"/>
          <w:sz w:val="24"/>
          <w:szCs w:val="24"/>
        </w:rPr>
        <w:t>附件4：技术规格响应/偏离表</w:t>
      </w:r>
      <w:bookmarkEnd w:id="18"/>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2"/>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7"/>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3"/>
        <w:spacing w:before="0" w:after="0" w:line="360" w:lineRule="auto"/>
        <w:rPr>
          <w:rFonts w:asciiTheme="minorEastAsia" w:hAnsiTheme="minorEastAsia"/>
          <w:b w:val="0"/>
          <w:bCs w:val="0"/>
          <w:sz w:val="21"/>
          <w:szCs w:val="21"/>
        </w:rPr>
      </w:pPr>
      <w:bookmarkStart w:id="19" w:name="_Toc511029431"/>
      <w:bookmarkStart w:id="20" w:name="_Toc510948711"/>
    </w:p>
    <w:bookmarkEnd w:id="19"/>
    <w:bookmarkEnd w:id="20"/>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8"/>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8"/>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8"/>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Miss Sweetie">
    <w:panose1 w:val="02000503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15"/>
          <w:jc w:val="center"/>
        </w:pPr>
        <w:r>
          <w:fldChar w:fldCharType="begin"/>
        </w:r>
        <w:r>
          <w:instrText xml:space="preserve">PAGE   \* MERGEFORMAT</w:instrText>
        </w:r>
        <w:r>
          <w:fldChar w:fldCharType="separate"/>
        </w:r>
        <w:r>
          <w:t>2</w:t>
        </w:r>
        <w:r>
          <w:fldChar w:fldCharType="end"/>
        </w:r>
      </w:p>
    </w:sdtContent>
  </w:sdt>
  <w:p w14:paraId="7E70963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15"/>
          <w:jc w:val="center"/>
        </w:pPr>
        <w:r>
          <w:fldChar w:fldCharType="begin"/>
        </w:r>
        <w:r>
          <w:instrText xml:space="preserve">PAGE   \* MERGEFORMAT</w:instrText>
        </w:r>
        <w:r>
          <w:fldChar w:fldCharType="separate"/>
        </w:r>
        <w:r>
          <w:t>1</w:t>
        </w:r>
        <w:r>
          <w:fldChar w:fldCharType="end"/>
        </w:r>
      </w:p>
    </w:sdtContent>
  </w:sdt>
  <w:p w14:paraId="6D802B6F">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2">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3">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4">
    <w:nsid w:val="E9014B85"/>
    <w:multiLevelType w:val="singleLevel"/>
    <w:tmpl w:val="E9014B85"/>
    <w:lvl w:ilvl="0" w:tentative="0">
      <w:start w:val="2"/>
      <w:numFmt w:val="chineseCounting"/>
      <w:suff w:val="nothing"/>
      <w:lvlText w:val="%1、"/>
      <w:lvlJc w:val="left"/>
      <w:rPr>
        <w:rFonts w:hint="eastAsia"/>
      </w:rPr>
    </w:lvl>
  </w:abstractNum>
  <w:abstractNum w:abstractNumId="5">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6">
    <w:nsid w:val="152FE204"/>
    <w:multiLevelType w:val="singleLevel"/>
    <w:tmpl w:val="152FE204"/>
    <w:lvl w:ilvl="0" w:tentative="0">
      <w:start w:val="1"/>
      <w:numFmt w:val="decimal"/>
      <w:suff w:val="nothing"/>
      <w:lvlText w:val="%1．"/>
      <w:lvlJc w:val="left"/>
      <w:pPr>
        <w:ind w:left="0" w:firstLine="400"/>
      </w:pPr>
      <w:rPr>
        <w:rFonts w:hint="default"/>
      </w:rPr>
    </w:lvl>
  </w:abstractNum>
  <w:abstractNum w:abstractNumId="7">
    <w:nsid w:val="5E690B98"/>
    <w:multiLevelType w:val="singleLevel"/>
    <w:tmpl w:val="5E690B98"/>
    <w:lvl w:ilvl="0" w:tentative="0">
      <w:start w:val="4"/>
      <w:numFmt w:val="chineseCounting"/>
      <w:suff w:val="space"/>
      <w:lvlText w:val="第%1部分"/>
      <w:lvlJc w:val="left"/>
      <w:rPr>
        <w:rFonts w:hint="eastAsia"/>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B6B1B0E"/>
    <w:rsid w:val="0C707C14"/>
    <w:rsid w:val="0CE20074"/>
    <w:rsid w:val="0EE55A91"/>
    <w:rsid w:val="12F301E3"/>
    <w:rsid w:val="14890446"/>
    <w:rsid w:val="1574621E"/>
    <w:rsid w:val="1A0653C4"/>
    <w:rsid w:val="1A4A1646"/>
    <w:rsid w:val="1ACD37C2"/>
    <w:rsid w:val="1BC26010"/>
    <w:rsid w:val="1C0C1B6A"/>
    <w:rsid w:val="1DD91315"/>
    <w:rsid w:val="1DF63666"/>
    <w:rsid w:val="1EDF4885"/>
    <w:rsid w:val="1F8519CA"/>
    <w:rsid w:val="207032A0"/>
    <w:rsid w:val="2230056D"/>
    <w:rsid w:val="227859C0"/>
    <w:rsid w:val="22AE0B82"/>
    <w:rsid w:val="237909F8"/>
    <w:rsid w:val="240A1A0E"/>
    <w:rsid w:val="267B2653"/>
    <w:rsid w:val="26C32955"/>
    <w:rsid w:val="28D220AC"/>
    <w:rsid w:val="29270EDC"/>
    <w:rsid w:val="294835F5"/>
    <w:rsid w:val="2B0F3624"/>
    <w:rsid w:val="2D89352F"/>
    <w:rsid w:val="2F425CE3"/>
    <w:rsid w:val="340E25D9"/>
    <w:rsid w:val="341A0804"/>
    <w:rsid w:val="34524761"/>
    <w:rsid w:val="3694098A"/>
    <w:rsid w:val="37920202"/>
    <w:rsid w:val="37B75A65"/>
    <w:rsid w:val="38222DF0"/>
    <w:rsid w:val="39B03518"/>
    <w:rsid w:val="3B16260A"/>
    <w:rsid w:val="3C5F2ED5"/>
    <w:rsid w:val="3F375A43"/>
    <w:rsid w:val="41FB58F2"/>
    <w:rsid w:val="43B54A45"/>
    <w:rsid w:val="44C13D25"/>
    <w:rsid w:val="451A4D13"/>
    <w:rsid w:val="461F45F4"/>
    <w:rsid w:val="4624790D"/>
    <w:rsid w:val="46B864B2"/>
    <w:rsid w:val="46FF153C"/>
    <w:rsid w:val="47F40CED"/>
    <w:rsid w:val="48023F20"/>
    <w:rsid w:val="482400FD"/>
    <w:rsid w:val="485F0A38"/>
    <w:rsid w:val="488D6B8D"/>
    <w:rsid w:val="494135D3"/>
    <w:rsid w:val="4B7D0C82"/>
    <w:rsid w:val="4C5915DA"/>
    <w:rsid w:val="4D945499"/>
    <w:rsid w:val="4E2B2C17"/>
    <w:rsid w:val="4E6859B7"/>
    <w:rsid w:val="50125623"/>
    <w:rsid w:val="508D0070"/>
    <w:rsid w:val="51EC4AFF"/>
    <w:rsid w:val="521C3800"/>
    <w:rsid w:val="52BB42CF"/>
    <w:rsid w:val="52DD1EA2"/>
    <w:rsid w:val="53365190"/>
    <w:rsid w:val="53690498"/>
    <w:rsid w:val="538335A0"/>
    <w:rsid w:val="53BE4836"/>
    <w:rsid w:val="547816E4"/>
    <w:rsid w:val="554C269D"/>
    <w:rsid w:val="5649560F"/>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C860252"/>
    <w:rsid w:val="6E7F0056"/>
    <w:rsid w:val="6EA3424A"/>
    <w:rsid w:val="6EBB2E18"/>
    <w:rsid w:val="6EF449AB"/>
    <w:rsid w:val="70997702"/>
    <w:rsid w:val="71A6157C"/>
    <w:rsid w:val="71D85D4A"/>
    <w:rsid w:val="722E3CB7"/>
    <w:rsid w:val="72353C60"/>
    <w:rsid w:val="749F1D7E"/>
    <w:rsid w:val="764D5755"/>
    <w:rsid w:val="7C371D7F"/>
    <w:rsid w:val="7C864C76"/>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5"/>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Body Text"/>
    <w:basedOn w:val="1"/>
    <w:next w:val="7"/>
    <w:semiHidden/>
    <w:unhideWhenUsed/>
    <w:qFormat/>
    <w:uiPriority w:val="99"/>
    <w:pPr>
      <w:spacing w:after="120"/>
    </w:pPr>
  </w:style>
  <w:style w:type="paragraph" w:customStyle="1" w:styleId="7">
    <w:name w:val="style4"/>
    <w:basedOn w:val="1"/>
    <w:next w:val="8"/>
    <w:qFormat/>
    <w:uiPriority w:val="0"/>
    <w:pPr>
      <w:spacing w:before="280" w:after="280"/>
    </w:pPr>
    <w:rPr>
      <w:rFonts w:ascii="宋体"/>
      <w:sz w:val="18"/>
    </w:rPr>
  </w:style>
  <w:style w:type="paragraph" w:customStyle="1" w:styleId="8">
    <w:name w:val="2"/>
    <w:basedOn w:val="1"/>
    <w:next w:val="1"/>
    <w:qFormat/>
    <w:uiPriority w:val="0"/>
    <w:pPr>
      <w:spacing w:line="360" w:lineRule="auto"/>
    </w:pPr>
    <w:rPr>
      <w:rFonts w:eastAsia="仿宋_GB2312"/>
      <w:sz w:val="28"/>
      <w:szCs w:val="28"/>
    </w:rPr>
  </w:style>
  <w:style w:type="paragraph" w:styleId="9">
    <w:name w:val="Body Text Indent"/>
    <w:basedOn w:val="1"/>
    <w:next w:val="10"/>
    <w:qFormat/>
    <w:uiPriority w:val="0"/>
    <w:pPr>
      <w:snapToGrid w:val="0"/>
      <w:spacing w:line="440" w:lineRule="exact"/>
      <w:ind w:left="1120" w:hanging="1120" w:hangingChars="400"/>
    </w:pPr>
    <w:rPr>
      <w:rFonts w:eastAsia="DFKai-SB"/>
      <w:sz w:val="28"/>
      <w:lang w:eastAsia="zh-TW"/>
    </w:rPr>
  </w:style>
  <w:style w:type="paragraph" w:styleId="10">
    <w:name w:val="envelope return"/>
    <w:basedOn w:val="1"/>
    <w:qFormat/>
    <w:uiPriority w:val="0"/>
    <w:pPr>
      <w:snapToGrid w:val="0"/>
    </w:pPr>
    <w:rPr>
      <w:rFonts w:ascii="Arial" w:hAnsi="Arial"/>
    </w:rPr>
  </w:style>
  <w:style w:type="paragraph" w:styleId="11">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2">
    <w:name w:val="Plain Text"/>
    <w:basedOn w:val="1"/>
    <w:qFormat/>
    <w:uiPriority w:val="0"/>
    <w:pPr>
      <w:jc w:val="left"/>
    </w:pPr>
    <w:rPr>
      <w:rFonts w:ascii="MingLiU" w:hAnsi="Courier New" w:eastAsia="MingLiU"/>
      <w:sz w:val="24"/>
      <w:szCs w:val="20"/>
      <w:lang w:eastAsia="zh-TW"/>
    </w:rPr>
  </w:style>
  <w:style w:type="paragraph" w:styleId="13">
    <w:name w:val="Body Text Indent 2"/>
    <w:basedOn w:val="1"/>
    <w:qFormat/>
    <w:uiPriority w:val="0"/>
    <w:pPr>
      <w:snapToGrid w:val="0"/>
      <w:spacing w:line="560" w:lineRule="atLeast"/>
      <w:ind w:firstLine="540"/>
    </w:pPr>
  </w:style>
  <w:style w:type="paragraph" w:styleId="14">
    <w:name w:val="Balloon Text"/>
    <w:basedOn w:val="1"/>
    <w:link w:val="32"/>
    <w:qFormat/>
    <w:uiPriority w:val="0"/>
    <w:rPr>
      <w:sz w:val="18"/>
      <w:szCs w:val="18"/>
    </w:rPr>
  </w:style>
  <w:style w:type="paragraph" w:styleId="15">
    <w:name w:val="footer"/>
    <w:basedOn w:val="1"/>
    <w:unhideWhenUsed/>
    <w:qFormat/>
    <w:uiPriority w:val="99"/>
    <w:pPr>
      <w:tabs>
        <w:tab w:val="center" w:pos="4153"/>
        <w:tab w:val="right" w:pos="8306"/>
      </w:tabs>
      <w:snapToGrid w:val="0"/>
      <w:jc w:val="left"/>
    </w:pPr>
    <w:rPr>
      <w:sz w:val="18"/>
      <w:szCs w:val="18"/>
      <w:lang w:val="zh-CN"/>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Body Text First Indent 2"/>
    <w:basedOn w:val="9"/>
    <w:next w:val="1"/>
    <w:qFormat/>
    <w:uiPriority w:val="0"/>
    <w:pPr>
      <w:ind w:firstLine="42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3"/>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Miss Sweetie" w:hAnsi="Miss Sweetie" w:eastAsia="Miss Sweetie" w:cs="Miss Sweeti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Miss Sweetie" w:hAnsi="Miss Sweetie" w:eastAsia="Miss Sweetie" w:cs="Miss Sweetie"/>
      <w:b/>
      <w:bCs/>
      <w:color w:val="000000"/>
      <w:sz w:val="32"/>
      <w:szCs w:val="32"/>
      <w:lang w:val="en-US" w:eastAsia="zh-CN" w:bidi="ar-SA"/>
    </w:rPr>
  </w:style>
  <w:style w:type="paragraph" w:customStyle="1" w:styleId="40">
    <w:name w:val="正文1"/>
    <w:qFormat/>
    <w:uiPriority w:val="0"/>
    <w:pPr>
      <w:framePr w:wrap="around" w:vAnchor="margin" w:hAnchor="text" w:y="1"/>
    </w:pPr>
    <w:rPr>
      <w:rFonts w:ascii="Miss Sweetie" w:hAnsi="Miss Sweeti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5902</Words>
  <Characters>6325</Characters>
  <Lines>66</Lines>
  <Paragraphs>18</Paragraphs>
  <TotalTime>1</TotalTime>
  <ScaleCrop>false</ScaleCrop>
  <LinksUpToDate>false</LinksUpToDate>
  <CharactersWithSpaces>7997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2025-05-12T00:11:21Z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ies>
</file>