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4982698A">
        <w:tblPrEx>
          <w:tblCellMar>
            <w:top w:w="0" w:type="dxa"/>
            <w:left w:w="144" w:type="dxa"/>
            <w:bottom w:w="0" w:type="dxa"/>
            <w:right w:w="115" w:type="dxa"/>
          </w:tblCellMar>
        </w:tblPrEx>
        <w:tc>
          <w:tcPr>
            <w:tcW w:w="7259" w:type="dxa"/>
            <w:tcMar>
              <w:top w:w="216" w:type="dxa"/>
              <w:left w:w="115" w:type="dxa"/>
              <w:bottom w:w="216" w:type="dxa"/>
              <w:right w:w="115" w:type="dxa"/>
            </w:tcMar>
          </w:tcPr>
          <w:p w14:paraId="7F7BC005">
            <w:pPr>
              <w:pStyle w:val="35"/>
              <w:rPr>
                <w:rFonts w:hint="eastAsia" w:ascii="宋体" w:hAnsi="宋体"/>
                <w:color w:val="2E74B5"/>
                <w:sz w:val="24"/>
              </w:rPr>
            </w:pPr>
          </w:p>
        </w:tc>
      </w:tr>
      <w:tr w14:paraId="0AB510C3">
        <w:tblPrEx>
          <w:tblCellMar>
            <w:top w:w="0" w:type="dxa"/>
            <w:left w:w="144" w:type="dxa"/>
            <w:bottom w:w="0" w:type="dxa"/>
            <w:right w:w="115" w:type="dxa"/>
          </w:tblCellMar>
        </w:tblPrEx>
        <w:tc>
          <w:tcPr>
            <w:tcW w:w="7259" w:type="dxa"/>
          </w:tcPr>
          <w:p w14:paraId="2B17B85D">
            <w:pPr>
              <w:pStyle w:val="35"/>
              <w:spacing w:line="216" w:lineRule="auto"/>
              <w:jc w:val="center"/>
              <w:rPr>
                <w:rFonts w:hint="eastAsia" w:ascii="宋体" w:hAnsi="宋体"/>
                <w:b/>
                <w:sz w:val="76"/>
                <w:szCs w:val="76"/>
              </w:rPr>
            </w:pPr>
            <w:r>
              <w:rPr>
                <w:rFonts w:hint="eastAsia" w:ascii="宋体" w:hAnsi="宋体"/>
                <w:b/>
                <w:sz w:val="76"/>
                <w:szCs w:val="76"/>
              </w:rPr>
              <w:t>信息化项目</w:t>
            </w:r>
          </w:p>
          <w:p w14:paraId="48088A79">
            <w:pPr>
              <w:pStyle w:val="35"/>
              <w:spacing w:line="216" w:lineRule="auto"/>
              <w:jc w:val="center"/>
              <w:rPr>
                <w:rFonts w:hint="eastAsia"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38609512">
        <w:tblPrEx>
          <w:tblCellMar>
            <w:top w:w="0" w:type="dxa"/>
            <w:left w:w="144" w:type="dxa"/>
            <w:bottom w:w="0" w:type="dxa"/>
            <w:right w:w="115" w:type="dxa"/>
          </w:tblCellMar>
        </w:tblPrEx>
        <w:tc>
          <w:tcPr>
            <w:tcW w:w="7259" w:type="dxa"/>
            <w:tcMar>
              <w:top w:w="216" w:type="dxa"/>
              <w:left w:w="115" w:type="dxa"/>
              <w:bottom w:w="216" w:type="dxa"/>
              <w:right w:w="115" w:type="dxa"/>
            </w:tcMar>
          </w:tcPr>
          <w:p w14:paraId="5F50C348">
            <w:pPr>
              <w:pStyle w:val="35"/>
              <w:rPr>
                <w:rFonts w:hint="eastAsia" w:ascii="宋体" w:hAnsi="宋体"/>
                <w:sz w:val="24"/>
              </w:rPr>
            </w:pPr>
          </w:p>
        </w:tc>
      </w:tr>
      <w:tr w14:paraId="429CF63D">
        <w:tblPrEx>
          <w:tblCellMar>
            <w:top w:w="0" w:type="dxa"/>
            <w:left w:w="144" w:type="dxa"/>
            <w:bottom w:w="0" w:type="dxa"/>
            <w:right w:w="115" w:type="dxa"/>
          </w:tblCellMar>
        </w:tblPrEx>
        <w:tc>
          <w:tcPr>
            <w:tcW w:w="7259" w:type="dxa"/>
            <w:tcMar>
              <w:top w:w="216" w:type="dxa"/>
              <w:left w:w="115" w:type="dxa"/>
              <w:bottom w:w="216" w:type="dxa"/>
              <w:right w:w="115" w:type="dxa"/>
            </w:tcMar>
          </w:tcPr>
          <w:p w14:paraId="6C43AD4D">
            <w:pPr>
              <w:rPr>
                <w:rFonts w:hint="eastAsia" w:ascii="宋体" w:hAnsi="宋体"/>
                <w:sz w:val="32"/>
                <w:szCs w:val="32"/>
              </w:rPr>
            </w:pPr>
            <w:r>
              <w:rPr>
                <w:rFonts w:hint="eastAsia" w:ascii="宋体" w:hAnsi="宋体"/>
                <w:sz w:val="32"/>
                <w:szCs w:val="32"/>
              </w:rPr>
              <w:t>项目名称：</w:t>
            </w:r>
            <w:r>
              <w:rPr>
                <w:rFonts w:hint="eastAsia"/>
                <w:sz w:val="32"/>
                <w:szCs w:val="32"/>
              </w:rPr>
              <w:t>本科生课程考核档案管理系统</w:t>
            </w:r>
          </w:p>
          <w:p w14:paraId="7B5C5409">
            <w:pPr>
              <w:pStyle w:val="14"/>
              <w:rPr>
                <w:rFonts w:hint="eastAsia" w:ascii="宋体" w:hAnsi="宋体"/>
                <w:sz w:val="32"/>
                <w:szCs w:val="32"/>
                <w:lang w:val="en-US"/>
              </w:rPr>
            </w:pPr>
          </w:p>
          <w:p w14:paraId="2010E138">
            <w:pPr>
              <w:rPr>
                <w:rFonts w:hint="eastAsia" w:ascii="宋体" w:hAnsi="宋体"/>
                <w:sz w:val="32"/>
                <w:szCs w:val="32"/>
              </w:rPr>
            </w:pPr>
            <w:r>
              <w:rPr>
                <w:rFonts w:hint="eastAsia" w:ascii="宋体" w:hAnsi="宋体"/>
                <w:sz w:val="32"/>
                <w:szCs w:val="32"/>
              </w:rPr>
              <w:t>项目编号：校分信2025005</w:t>
            </w:r>
          </w:p>
        </w:tc>
      </w:tr>
    </w:tbl>
    <w:p w14:paraId="1A9F5449">
      <w:pPr>
        <w:jc w:val="center"/>
        <w:rPr>
          <w:b/>
          <w:bCs/>
          <w:sz w:val="44"/>
          <w:szCs w:val="44"/>
        </w:rPr>
      </w:pPr>
    </w:p>
    <w:p w14:paraId="6D712AFD">
      <w:pPr>
        <w:jc w:val="center"/>
        <w:rPr>
          <w:b/>
          <w:bCs/>
          <w:sz w:val="32"/>
          <w:szCs w:val="32"/>
        </w:rPr>
      </w:pPr>
    </w:p>
    <w:p w14:paraId="298B2E23">
      <w:pPr>
        <w:spacing w:line="360" w:lineRule="auto"/>
        <w:ind w:firstLine="480" w:firstLineChars="200"/>
        <w:rPr>
          <w:rFonts w:hint="eastAsia" w:asciiTheme="minorEastAsia" w:hAnsiTheme="minorEastAsia" w:cstheme="minorEastAsia"/>
          <w:sz w:val="24"/>
        </w:rPr>
      </w:pPr>
    </w:p>
    <w:p w14:paraId="5B75C2DD">
      <w:pPr>
        <w:spacing w:line="360" w:lineRule="auto"/>
        <w:ind w:firstLine="480" w:firstLineChars="200"/>
        <w:rPr>
          <w:rFonts w:hint="eastAsia" w:asciiTheme="minorEastAsia" w:hAnsiTheme="minorEastAsia" w:cstheme="minorEastAsia"/>
          <w:sz w:val="24"/>
        </w:rPr>
      </w:pPr>
    </w:p>
    <w:p w14:paraId="4FC1836F">
      <w:pPr>
        <w:spacing w:line="360" w:lineRule="auto"/>
        <w:ind w:firstLine="480" w:firstLineChars="200"/>
        <w:rPr>
          <w:rFonts w:hint="eastAsia" w:asciiTheme="minorEastAsia" w:hAnsiTheme="minorEastAsia" w:cstheme="minorEastAsia"/>
          <w:sz w:val="24"/>
        </w:rPr>
      </w:pPr>
    </w:p>
    <w:tbl>
      <w:tblPr>
        <w:tblStyle w:val="19"/>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059D511">
        <w:tblPrEx>
          <w:tblCellMar>
            <w:top w:w="0" w:type="dxa"/>
            <w:left w:w="108" w:type="dxa"/>
            <w:bottom w:w="0" w:type="dxa"/>
            <w:right w:w="108" w:type="dxa"/>
          </w:tblCellMar>
        </w:tblPrEx>
        <w:tc>
          <w:tcPr>
            <w:tcW w:w="7455" w:type="dxa"/>
            <w:tcMar>
              <w:top w:w="216" w:type="dxa"/>
              <w:left w:w="115" w:type="dxa"/>
              <w:bottom w:w="216" w:type="dxa"/>
              <w:right w:w="115" w:type="dxa"/>
            </w:tcMar>
          </w:tcPr>
          <w:p w14:paraId="4DDC096C">
            <w:pPr>
              <w:jc w:val="center"/>
              <w:rPr>
                <w:rFonts w:hint="eastAsia" w:ascii="宋体" w:hAnsi="宋体"/>
                <w:sz w:val="32"/>
              </w:rPr>
            </w:pPr>
            <w:r>
              <w:rPr>
                <w:rFonts w:hint="eastAsia" w:ascii="宋体" w:hAnsi="宋体"/>
                <w:sz w:val="32"/>
              </w:rPr>
              <w:t>江南大学信息化建设管理处</w:t>
            </w:r>
          </w:p>
          <w:p w14:paraId="0D6254BF">
            <w:pPr>
              <w:pStyle w:val="35"/>
              <w:jc w:val="center"/>
              <w:rPr>
                <w:rFonts w:hint="eastAsia" w:ascii="宋体" w:hAnsi="宋体"/>
              </w:rPr>
            </w:pPr>
            <w:r>
              <w:rPr>
                <w:rFonts w:ascii="宋体" w:hAnsi="宋体"/>
                <w:kern w:val="0"/>
                <w:sz w:val="32"/>
              </w:rPr>
              <w:t>202</w:t>
            </w:r>
            <w:r>
              <w:rPr>
                <w:rFonts w:hint="eastAsia" w:ascii="宋体" w:hAnsi="宋体"/>
                <w:kern w:val="0"/>
                <w:sz w:val="32"/>
              </w:rPr>
              <w:t>5</w:t>
            </w:r>
            <w:r>
              <w:rPr>
                <w:rFonts w:ascii="宋体" w:hAnsi="宋体"/>
                <w:kern w:val="0"/>
                <w:sz w:val="32"/>
              </w:rPr>
              <w:t>年</w:t>
            </w:r>
            <w:r>
              <w:rPr>
                <w:rFonts w:hint="eastAsia" w:ascii="宋体" w:hAnsi="宋体"/>
                <w:kern w:val="0"/>
                <w:sz w:val="32"/>
              </w:rPr>
              <w:t>7</w:t>
            </w:r>
            <w:r>
              <w:rPr>
                <w:rFonts w:ascii="宋体" w:hAnsi="宋体"/>
                <w:kern w:val="0"/>
                <w:sz w:val="32"/>
              </w:rPr>
              <w:t>月</w:t>
            </w:r>
            <w:r>
              <w:rPr>
                <w:rFonts w:hint="eastAsia" w:ascii="宋体" w:hAnsi="宋体"/>
                <w:kern w:val="0"/>
                <w:sz w:val="32"/>
              </w:rPr>
              <w:t>11</w:t>
            </w:r>
            <w:r>
              <w:rPr>
                <w:rFonts w:ascii="宋体" w:hAnsi="宋体"/>
                <w:kern w:val="0"/>
                <w:sz w:val="32"/>
              </w:rPr>
              <w:t>日</w:t>
            </w:r>
          </w:p>
        </w:tc>
      </w:tr>
    </w:tbl>
    <w:p w14:paraId="614FB10F">
      <w:pPr>
        <w:spacing w:line="360" w:lineRule="auto"/>
        <w:ind w:firstLine="480" w:firstLineChars="200"/>
        <w:rPr>
          <w:rFonts w:hint="eastAsia" w:asciiTheme="minorEastAsia" w:hAnsiTheme="minorEastAsia" w:cstheme="minorEastAsia"/>
          <w:sz w:val="24"/>
        </w:rPr>
      </w:pPr>
    </w:p>
    <w:p w14:paraId="49487C04">
      <w:pPr>
        <w:spacing w:line="360" w:lineRule="auto"/>
        <w:ind w:firstLine="480" w:firstLineChars="200"/>
        <w:rPr>
          <w:rFonts w:hint="eastAsia" w:asciiTheme="minorEastAsia" w:hAnsiTheme="minorEastAsia" w:cstheme="minorEastAsia"/>
          <w:sz w:val="24"/>
        </w:rPr>
      </w:pPr>
    </w:p>
    <w:p w14:paraId="7CCA910C">
      <w:pPr>
        <w:spacing w:line="360" w:lineRule="auto"/>
        <w:ind w:firstLine="480" w:firstLineChars="200"/>
        <w:rPr>
          <w:rFonts w:hint="eastAsia" w:asciiTheme="minorEastAsia" w:hAnsiTheme="minorEastAsia" w:cstheme="minorEastAsia"/>
          <w:sz w:val="24"/>
        </w:rPr>
      </w:pPr>
    </w:p>
    <w:p w14:paraId="022B7346">
      <w:pPr>
        <w:spacing w:line="360" w:lineRule="auto"/>
        <w:ind w:firstLine="480" w:firstLineChars="200"/>
        <w:rPr>
          <w:rFonts w:hint="eastAsia" w:asciiTheme="minorEastAsia" w:hAnsiTheme="minorEastAsia" w:cstheme="minorEastAsia"/>
          <w:sz w:val="24"/>
        </w:rPr>
      </w:pPr>
    </w:p>
    <w:p w14:paraId="57F1E5EC">
      <w:pPr>
        <w:spacing w:line="360" w:lineRule="auto"/>
        <w:ind w:firstLine="480" w:firstLineChars="200"/>
        <w:rPr>
          <w:rFonts w:hint="eastAsia" w:asciiTheme="minorEastAsia" w:hAnsiTheme="minorEastAsia" w:cstheme="minorEastAsia"/>
          <w:sz w:val="24"/>
        </w:rPr>
      </w:pPr>
    </w:p>
    <w:p w14:paraId="760E6FFE">
      <w:pPr>
        <w:spacing w:line="360" w:lineRule="auto"/>
        <w:ind w:firstLine="480" w:firstLineChars="200"/>
        <w:rPr>
          <w:rFonts w:hint="eastAsia" w:asciiTheme="minorEastAsia" w:hAnsiTheme="minorEastAsia" w:cstheme="minorEastAsia"/>
          <w:sz w:val="24"/>
        </w:rPr>
      </w:pPr>
    </w:p>
    <w:p w14:paraId="22EB4B47">
      <w:pPr>
        <w:spacing w:line="360" w:lineRule="auto"/>
        <w:ind w:firstLine="480" w:firstLineChars="200"/>
        <w:rPr>
          <w:rFonts w:hint="eastAsia" w:asciiTheme="minorEastAsia" w:hAnsiTheme="minorEastAsia" w:cstheme="minorEastAsia"/>
          <w:sz w:val="24"/>
        </w:rPr>
      </w:pPr>
    </w:p>
    <w:p w14:paraId="37B39AC4">
      <w:pPr>
        <w:spacing w:line="360" w:lineRule="auto"/>
        <w:ind w:firstLine="480" w:firstLineChars="200"/>
        <w:rPr>
          <w:rFonts w:hint="eastAsia" w:asciiTheme="minorEastAsia" w:hAnsiTheme="minorEastAsia" w:cstheme="minorEastAsia"/>
          <w:sz w:val="24"/>
        </w:rPr>
      </w:pPr>
    </w:p>
    <w:p w14:paraId="00451EFC">
      <w:pPr>
        <w:spacing w:line="360" w:lineRule="auto"/>
        <w:ind w:firstLine="480" w:firstLineChars="200"/>
        <w:rPr>
          <w:rFonts w:hint="eastAsia" w:asciiTheme="minorEastAsia" w:hAnsiTheme="minorEastAsia" w:cstheme="minorEastAsia"/>
          <w:sz w:val="24"/>
        </w:rPr>
      </w:pPr>
    </w:p>
    <w:p w14:paraId="76C24B7D">
      <w:pPr>
        <w:spacing w:line="360" w:lineRule="auto"/>
        <w:ind w:firstLine="480" w:firstLineChars="200"/>
        <w:rPr>
          <w:rFonts w:hint="eastAsia" w:asciiTheme="minorEastAsia" w:hAnsiTheme="minorEastAsia" w:cstheme="minorEastAsia"/>
          <w:sz w:val="24"/>
        </w:rPr>
      </w:pPr>
    </w:p>
    <w:p w14:paraId="16D6DF1E">
      <w:pPr>
        <w:spacing w:line="360" w:lineRule="auto"/>
        <w:ind w:firstLine="480" w:firstLineChars="200"/>
        <w:rPr>
          <w:rFonts w:hint="eastAsia" w:asciiTheme="minorEastAsia" w:hAnsiTheme="minorEastAsia" w:cstheme="minorEastAsia"/>
          <w:sz w:val="24"/>
        </w:rPr>
      </w:pPr>
    </w:p>
    <w:p w14:paraId="4C3A488E">
      <w:pPr>
        <w:spacing w:line="360" w:lineRule="auto"/>
        <w:ind w:firstLine="480" w:firstLineChars="200"/>
        <w:rPr>
          <w:rFonts w:hint="eastAsia" w:asciiTheme="minorEastAsia" w:hAnsiTheme="minorEastAsia" w:cstheme="minorEastAsia"/>
          <w:sz w:val="24"/>
        </w:rPr>
      </w:pPr>
    </w:p>
    <w:p w14:paraId="72FE5470">
      <w:pPr>
        <w:spacing w:line="360" w:lineRule="auto"/>
        <w:ind w:firstLine="480" w:firstLineChars="200"/>
        <w:rPr>
          <w:rFonts w:hint="eastAsia" w:asciiTheme="minorEastAsia" w:hAnsiTheme="minorEastAsia" w:cstheme="minorEastAsia"/>
          <w:sz w:val="24"/>
        </w:rPr>
      </w:pPr>
    </w:p>
    <w:p w14:paraId="21FA3943">
      <w:pPr>
        <w:spacing w:line="360" w:lineRule="auto"/>
        <w:ind w:firstLine="480" w:firstLineChars="200"/>
        <w:rPr>
          <w:rFonts w:hint="eastAsia" w:asciiTheme="minorEastAsia" w:hAnsiTheme="minorEastAsia" w:cstheme="minorEastAsia"/>
          <w:sz w:val="24"/>
        </w:rPr>
      </w:pPr>
    </w:p>
    <w:p w14:paraId="17737A76">
      <w:pPr>
        <w:spacing w:line="360" w:lineRule="auto"/>
        <w:ind w:firstLine="480" w:firstLineChars="200"/>
        <w:rPr>
          <w:rFonts w:hint="eastAsia" w:asciiTheme="minorEastAsia" w:hAnsiTheme="minorEastAsia" w:cstheme="minorEastAsia"/>
          <w:sz w:val="24"/>
        </w:rPr>
      </w:pPr>
    </w:p>
    <w:p w14:paraId="442DC068">
      <w:pPr>
        <w:spacing w:line="360" w:lineRule="auto"/>
        <w:ind w:firstLine="480" w:firstLineChars="200"/>
        <w:rPr>
          <w:rFonts w:hint="eastAsia" w:asciiTheme="minorEastAsia" w:hAnsiTheme="minorEastAsia" w:cstheme="minorEastAsia"/>
          <w:sz w:val="24"/>
        </w:rPr>
      </w:pPr>
    </w:p>
    <w:p w14:paraId="2A3B30D2">
      <w:pPr>
        <w:spacing w:line="360" w:lineRule="auto"/>
        <w:ind w:firstLine="480" w:firstLineChars="200"/>
        <w:rPr>
          <w:rFonts w:hint="eastAsia" w:asciiTheme="minorEastAsia" w:hAnsiTheme="minorEastAsia" w:cstheme="minorEastAsia"/>
          <w:sz w:val="24"/>
        </w:rPr>
      </w:pPr>
    </w:p>
    <w:p w14:paraId="3BCCB65D">
      <w:pPr>
        <w:spacing w:line="360" w:lineRule="auto"/>
        <w:ind w:firstLine="480" w:firstLineChars="200"/>
        <w:rPr>
          <w:rFonts w:hint="eastAsia" w:asciiTheme="minorEastAsia" w:hAnsiTheme="minorEastAsia" w:cstheme="minorEastAsia"/>
          <w:sz w:val="24"/>
        </w:rPr>
      </w:pPr>
    </w:p>
    <w:p w14:paraId="377CF1F7">
      <w:pPr>
        <w:spacing w:line="360" w:lineRule="auto"/>
        <w:ind w:firstLine="480" w:firstLineChars="200"/>
        <w:rPr>
          <w:rFonts w:hint="eastAsia" w:asciiTheme="minorEastAsia" w:hAnsiTheme="minorEastAsia" w:cstheme="minorEastAsia"/>
          <w:sz w:val="24"/>
        </w:rPr>
      </w:pPr>
    </w:p>
    <w:p w14:paraId="4F5B64F3">
      <w:pPr>
        <w:spacing w:line="360" w:lineRule="auto"/>
        <w:ind w:firstLine="480" w:firstLineChars="200"/>
        <w:rPr>
          <w:rFonts w:hint="eastAsia" w:asciiTheme="minorEastAsia" w:hAnsiTheme="minorEastAsia" w:cstheme="minorEastAsia"/>
          <w:sz w:val="24"/>
        </w:rPr>
      </w:pPr>
    </w:p>
    <w:p w14:paraId="003C9E6A">
      <w:pPr>
        <w:spacing w:line="360" w:lineRule="auto"/>
        <w:ind w:firstLine="480" w:firstLineChars="200"/>
        <w:rPr>
          <w:rFonts w:hint="eastAsia" w:asciiTheme="minorEastAsia" w:hAnsiTheme="minorEastAsia" w:cstheme="minorEastAsia"/>
          <w:sz w:val="24"/>
        </w:rPr>
      </w:pPr>
    </w:p>
    <w:p w14:paraId="3095FDB5">
      <w:pPr>
        <w:spacing w:line="360" w:lineRule="auto"/>
        <w:ind w:firstLine="480" w:firstLineChars="200"/>
        <w:rPr>
          <w:rFonts w:hint="eastAsia" w:asciiTheme="minorEastAsia" w:hAnsiTheme="minorEastAsia" w:cstheme="minorEastAsia"/>
          <w:sz w:val="24"/>
        </w:rPr>
      </w:pPr>
    </w:p>
    <w:p w14:paraId="0532E140">
      <w:pPr>
        <w:spacing w:line="360" w:lineRule="auto"/>
        <w:ind w:firstLine="480" w:firstLineChars="200"/>
        <w:rPr>
          <w:rFonts w:hint="eastAsia" w:asciiTheme="minorEastAsia" w:hAnsiTheme="minorEastAsia" w:cstheme="minorEastAsia"/>
          <w:sz w:val="24"/>
        </w:rPr>
      </w:pPr>
    </w:p>
    <w:p w14:paraId="0BF8039C">
      <w:pPr>
        <w:spacing w:line="360" w:lineRule="auto"/>
        <w:ind w:firstLine="480" w:firstLineChars="200"/>
        <w:rPr>
          <w:rFonts w:hint="eastAsia" w:asciiTheme="minorEastAsia" w:hAnsiTheme="minorEastAsia" w:cstheme="minorEastAsia"/>
          <w:sz w:val="24"/>
        </w:rPr>
      </w:pPr>
    </w:p>
    <w:p w14:paraId="44AF235B">
      <w:pPr>
        <w:pStyle w:val="2"/>
        <w:jc w:val="center"/>
        <w:rPr>
          <w:rFonts w:hint="eastAsia" w:ascii="宋体" w:hAnsi="宋体"/>
        </w:rPr>
      </w:pPr>
      <w:bookmarkStart w:id="0" w:name="_Toc4792"/>
      <w:r>
        <w:rPr>
          <w:rFonts w:hint="eastAsia" w:ascii="宋体" w:hAnsi="宋体"/>
        </w:rPr>
        <w:t>第一部分  校内分散采购邀请</w:t>
      </w:r>
      <w:bookmarkEnd w:id="0"/>
    </w:p>
    <w:p w14:paraId="0DEC2FEE">
      <w:pPr>
        <w:spacing w:line="360" w:lineRule="auto"/>
        <w:ind w:firstLine="496" w:firstLineChars="200"/>
        <w:rPr>
          <w:rFonts w:hint="eastAsia" w:ascii="宋体" w:hAnsi="宋体"/>
          <w:spacing w:val="4"/>
          <w:sz w:val="24"/>
        </w:rPr>
      </w:pPr>
      <w:r>
        <w:rPr>
          <w:rFonts w:hint="eastAsia" w:ascii="宋体" w:hAnsi="宋体"/>
          <w:spacing w:val="4"/>
          <w:sz w:val="24"/>
        </w:rPr>
        <w:t>江南大学采购与招标管理办公室委托信息化建设管理处，就我</w:t>
      </w:r>
      <w:r>
        <w:rPr>
          <w:rFonts w:hint="eastAsia" w:ascii="宋体" w:hAnsi="宋体" w:eastAsia="宋体" w:cs="宋体"/>
          <w:sz w:val="24"/>
        </w:rPr>
        <w:t xml:space="preserve">校的 </w:t>
      </w:r>
      <w:r>
        <w:rPr>
          <w:rFonts w:hint="eastAsia" w:ascii="宋体" w:hAnsi="宋体" w:eastAsia="宋体" w:cs="宋体"/>
          <w:sz w:val="24"/>
          <w:u w:val="single"/>
        </w:rPr>
        <w:t xml:space="preserve">本科生课程考核档案管理系统  </w:t>
      </w:r>
      <w:r>
        <w:rPr>
          <w:rFonts w:hint="eastAsia" w:ascii="宋体" w:hAnsi="宋体" w:eastAsia="宋体" w:cs="宋体"/>
          <w:sz w:val="24"/>
        </w:rPr>
        <w:t>进行校内分散采购，</w:t>
      </w:r>
      <w:r>
        <w:rPr>
          <w:rFonts w:ascii="宋体" w:hAnsi="宋体" w:eastAsia="宋体" w:cs="宋体"/>
          <w:sz w:val="24"/>
        </w:rPr>
        <w:t>现予以公告，欢迎潜在的供应商参与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14:paraId="38F77715">
      <w:pPr>
        <w:spacing w:line="360" w:lineRule="auto"/>
        <w:ind w:firstLine="496" w:firstLineChars="200"/>
        <w:rPr>
          <w:rFonts w:hint="eastAsia" w:ascii="宋体" w:hAnsi="宋体"/>
          <w:bCs/>
          <w:spacing w:val="4"/>
          <w:sz w:val="24"/>
        </w:rPr>
      </w:pPr>
      <w:r>
        <w:rPr>
          <w:rFonts w:hint="eastAsia" w:ascii="宋体" w:hAnsi="宋体"/>
          <w:spacing w:val="4"/>
          <w:sz w:val="24"/>
        </w:rPr>
        <w:t>本次采购的相关信息如下：</w:t>
      </w:r>
    </w:p>
    <w:p w14:paraId="08A02E42">
      <w:pPr>
        <w:numPr>
          <w:ilvl w:val="0"/>
          <w:numId w:val="2"/>
        </w:numPr>
        <w:spacing w:line="360" w:lineRule="auto"/>
        <w:rPr>
          <w:rFonts w:hint="eastAsia" w:ascii="宋体" w:hAnsi="宋体"/>
          <w:b/>
          <w:bCs/>
          <w:spacing w:val="4"/>
          <w:sz w:val="24"/>
        </w:rPr>
      </w:pPr>
      <w:r>
        <w:rPr>
          <w:rFonts w:hint="eastAsia" w:ascii="宋体" w:hAnsi="宋体"/>
          <w:b/>
          <w:bCs/>
          <w:spacing w:val="4"/>
          <w:sz w:val="24"/>
        </w:rPr>
        <w:t>信息化项目名称：本科生课程考核档案管理系统</w:t>
      </w:r>
    </w:p>
    <w:p w14:paraId="041B545A">
      <w:pPr>
        <w:numPr>
          <w:ilvl w:val="0"/>
          <w:numId w:val="2"/>
        </w:numPr>
        <w:spacing w:line="360" w:lineRule="auto"/>
        <w:rPr>
          <w:rFonts w:hint="eastAsia" w:ascii="宋体" w:hAnsi="宋体"/>
          <w:b/>
          <w:bCs/>
          <w:spacing w:val="4"/>
          <w:sz w:val="24"/>
        </w:rPr>
      </w:pPr>
      <w:r>
        <w:rPr>
          <w:rFonts w:hint="eastAsia" w:ascii="宋体" w:hAnsi="宋体"/>
          <w:b/>
          <w:bCs/>
          <w:spacing w:val="4"/>
          <w:sz w:val="24"/>
        </w:rPr>
        <w:t>信息化项目编号：校分信2025005</w:t>
      </w:r>
    </w:p>
    <w:p w14:paraId="277FA0EB">
      <w:pPr>
        <w:numPr>
          <w:ilvl w:val="0"/>
          <w:numId w:val="2"/>
        </w:numPr>
        <w:spacing w:line="360" w:lineRule="auto"/>
        <w:rPr>
          <w:rFonts w:hint="eastAsia" w:ascii="宋体" w:hAnsi="宋体"/>
          <w:b/>
          <w:bCs/>
          <w:spacing w:val="4"/>
          <w:sz w:val="24"/>
        </w:rPr>
      </w:pPr>
      <w:r>
        <w:rPr>
          <w:rFonts w:hint="eastAsia" w:ascii="宋体" w:hAnsi="宋体"/>
          <w:b/>
          <w:bCs/>
          <w:spacing w:val="4"/>
          <w:sz w:val="24"/>
        </w:rPr>
        <w:t>最高限价：人民币19.9万</w:t>
      </w:r>
    </w:p>
    <w:p w14:paraId="664D0EE4">
      <w:pPr>
        <w:numPr>
          <w:ilvl w:val="0"/>
          <w:numId w:val="2"/>
        </w:numPr>
        <w:spacing w:line="360" w:lineRule="auto"/>
        <w:rPr>
          <w:rFonts w:hint="eastAsia" w:ascii="宋体" w:hAnsi="宋体"/>
          <w:b/>
          <w:bCs/>
          <w:spacing w:val="4"/>
          <w:sz w:val="24"/>
        </w:rPr>
      </w:pPr>
      <w:r>
        <w:rPr>
          <w:rFonts w:hint="eastAsia" w:ascii="宋体" w:hAnsi="宋体"/>
          <w:b/>
          <w:bCs/>
          <w:spacing w:val="4"/>
          <w:sz w:val="24"/>
        </w:rPr>
        <w:t>信息化项目采购名称、数量及技术规格：</w:t>
      </w:r>
    </w:p>
    <w:p w14:paraId="35413185">
      <w:pPr>
        <w:spacing w:line="360" w:lineRule="auto"/>
        <w:ind w:firstLine="496" w:firstLineChars="200"/>
        <w:rPr>
          <w:rFonts w:hint="eastAsia"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21159C5A">
      <w:pPr>
        <w:numPr>
          <w:ilvl w:val="0"/>
          <w:numId w:val="2"/>
        </w:numPr>
        <w:spacing w:line="360" w:lineRule="auto"/>
        <w:rPr>
          <w:rFonts w:hint="eastAsia" w:ascii="宋体" w:hAnsi="宋体"/>
          <w:b/>
          <w:bCs/>
          <w:spacing w:val="4"/>
          <w:sz w:val="24"/>
        </w:rPr>
      </w:pPr>
      <w:r>
        <w:rPr>
          <w:rFonts w:hint="eastAsia" w:ascii="宋体" w:hAnsi="宋体"/>
          <w:b/>
          <w:bCs/>
          <w:spacing w:val="4"/>
          <w:sz w:val="24"/>
        </w:rPr>
        <w:t>获取采购文件的方式</w:t>
      </w:r>
    </w:p>
    <w:p w14:paraId="551BE4C9">
      <w:pPr>
        <w:spacing w:line="360" w:lineRule="auto"/>
        <w:ind w:firstLine="992" w:firstLineChars="400"/>
        <w:rPr>
          <w:rFonts w:hint="eastAsia"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5"/>
          <w:rFonts w:hint="eastAsia" w:ascii="宋体" w:hAnsi="宋体" w:eastAsia="宋体" w:cs="宋体"/>
          <w:color w:val="auto"/>
          <w:sz w:val="24"/>
          <w:u w:val="none"/>
        </w:rPr>
        <w:t>http://nic.jiangnan.edu.cn/</w:t>
      </w:r>
      <w:r>
        <w:rPr>
          <w:rStyle w:val="25"/>
          <w:rFonts w:ascii="宋体" w:hAnsi="宋体" w:eastAsia="宋体" w:cs="宋体"/>
          <w:color w:val="auto"/>
          <w:sz w:val="24"/>
          <w:u w:val="none"/>
        </w:rPr>
        <w:fldChar w:fldCharType="end"/>
      </w:r>
      <w:r>
        <w:rPr>
          <w:rStyle w:val="25"/>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2A24E6C9">
      <w:pPr>
        <w:numPr>
          <w:ilvl w:val="0"/>
          <w:numId w:val="2"/>
        </w:numPr>
        <w:spacing w:line="360" w:lineRule="auto"/>
        <w:rPr>
          <w:rFonts w:hint="eastAsia" w:ascii="宋体" w:hAnsi="宋体"/>
          <w:b/>
          <w:bCs/>
          <w:spacing w:val="4"/>
          <w:sz w:val="24"/>
        </w:rPr>
      </w:pPr>
      <w:r>
        <w:rPr>
          <w:rFonts w:hint="eastAsia" w:ascii="宋体" w:hAnsi="宋体"/>
          <w:b/>
          <w:bCs/>
          <w:spacing w:val="4"/>
          <w:sz w:val="24"/>
        </w:rPr>
        <w:t>报名方式</w:t>
      </w:r>
    </w:p>
    <w:p w14:paraId="64B678D8">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rPr>
        <w:t>：</w:t>
      </w:r>
      <w:r>
        <w:rPr>
          <w:rFonts w:hint="eastAsia" w:ascii="宋体" w:hAnsi="宋体" w:eastAsia="宋体" w:cs="宋体"/>
          <w:sz w:val="24"/>
        </w:rPr>
        <w:t>2025年</w:t>
      </w:r>
      <w:r>
        <w:rPr>
          <w:rFonts w:hint="eastAsia" w:ascii="宋体" w:hAnsi="宋体" w:eastAsia="宋体" w:cs="宋体"/>
          <w:sz w:val="24"/>
          <w:u w:val="single"/>
        </w:rPr>
        <w:t xml:space="preserve"> 7 </w:t>
      </w:r>
      <w:r>
        <w:rPr>
          <w:rFonts w:hint="eastAsia" w:ascii="宋体" w:hAnsi="宋体" w:eastAsia="宋体" w:cs="宋体"/>
          <w:sz w:val="24"/>
        </w:rPr>
        <w:t>月</w:t>
      </w:r>
      <w:r>
        <w:rPr>
          <w:rFonts w:hint="eastAsia" w:ascii="宋体" w:hAnsi="宋体" w:eastAsia="宋体" w:cs="宋体"/>
          <w:sz w:val="24"/>
          <w:u w:val="single"/>
        </w:rPr>
        <w:t xml:space="preserve"> 16</w:t>
      </w:r>
      <w:r>
        <w:rPr>
          <w:rFonts w:hint="eastAsia" w:ascii="宋体" w:hAnsi="宋体" w:eastAsia="宋体" w:cs="宋体"/>
          <w:sz w:val="24"/>
        </w:rPr>
        <w:t>日</w:t>
      </w:r>
      <w:r>
        <w:rPr>
          <w:rFonts w:hint="eastAsia" w:ascii="宋体" w:hAnsi="宋体" w:eastAsia="宋体" w:cs="宋体"/>
          <w:sz w:val="24"/>
          <w:u w:val="single"/>
        </w:rPr>
        <w:t xml:space="preserve"> 12 </w:t>
      </w:r>
      <w:r>
        <w:rPr>
          <w:rFonts w:hint="eastAsia" w:ascii="宋体" w:hAnsi="宋体" w:eastAsia="宋体" w:cs="宋体"/>
          <w:sz w:val="24"/>
        </w:rPr>
        <w:t>时</w:t>
      </w:r>
      <w:r>
        <w:rPr>
          <w:rFonts w:hint="eastAsia" w:ascii="宋体" w:hAnsi="宋体" w:cs="宋体"/>
          <w:sz w:val="24"/>
          <w:u w:val="single"/>
        </w:rPr>
        <w:t xml:space="preserve"> 00 </w:t>
      </w:r>
      <w:r>
        <w:rPr>
          <w:rFonts w:hint="eastAsia" w:ascii="宋体" w:hAnsi="宋体" w:eastAsia="宋体" w:cs="宋体"/>
          <w:sz w:val="24"/>
        </w:rPr>
        <w:t>分，确定参与本次采购活动的供应商填写完整的“报名确认函”（见附件1），</w:t>
      </w:r>
      <w:r>
        <w:rPr>
          <w:rFonts w:hint="eastAsia"/>
        </w:rPr>
        <w:fldChar w:fldCharType="begin"/>
      </w:r>
      <w:r>
        <w:instrText xml:space="preserve"> HYPERLINK "mailto:分前将" </w:instrText>
      </w:r>
      <w:r>
        <w:rPr>
          <w:rFonts w:hint="eastAsia"/>
        </w:rP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xxhxmcg@jiangnan.edu.cn。</w:t>
      </w:r>
      <w:r>
        <w:rPr>
          <w:rFonts w:hint="eastAsia" w:ascii="宋体" w:hAnsi="宋体" w:eastAsia="宋体" w:cs="宋体"/>
          <w:sz w:val="24"/>
        </w:rPr>
        <w:fldChar w:fldCharType="end"/>
      </w:r>
    </w:p>
    <w:p w14:paraId="4746EFC7">
      <w:pPr>
        <w:spacing w:line="360" w:lineRule="auto"/>
        <w:ind w:firstLine="482" w:firstLineChars="200"/>
        <w:rPr>
          <w:rFonts w:hint="eastAsia"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报名时间截止后，如报名人少于2个，将发布延期公告，本项目的报名时间顺延2日。</w:t>
      </w:r>
    </w:p>
    <w:p w14:paraId="0769820F">
      <w:pPr>
        <w:numPr>
          <w:ilvl w:val="0"/>
          <w:numId w:val="2"/>
        </w:numPr>
        <w:spacing w:line="360" w:lineRule="auto"/>
        <w:rPr>
          <w:rFonts w:hint="eastAsia" w:ascii="宋体" w:hAnsi="宋体"/>
          <w:b/>
          <w:bCs/>
          <w:spacing w:val="4"/>
          <w:sz w:val="24"/>
        </w:rPr>
      </w:pPr>
      <w:r>
        <w:rPr>
          <w:rFonts w:hint="eastAsia" w:ascii="宋体" w:hAnsi="宋体"/>
          <w:b/>
          <w:bCs/>
          <w:spacing w:val="4"/>
          <w:sz w:val="24"/>
        </w:rPr>
        <w:t>投标方式</w:t>
      </w:r>
    </w:p>
    <w:p w14:paraId="75AF27FA">
      <w:pPr>
        <w:spacing w:line="360" w:lineRule="auto"/>
        <w:ind w:firstLine="480" w:firstLineChars="200"/>
        <w:rPr>
          <w:rFonts w:hint="eastAsia" w:ascii="宋体" w:hAnsi="宋体" w:eastAsia="宋体" w:cs="宋体"/>
          <w:sz w:val="24"/>
        </w:rPr>
      </w:pPr>
      <w:r>
        <w:rPr>
          <w:rFonts w:ascii="Times New Roman" w:hAnsi="Times New Roman" w:eastAsia="宋体" w:cs="Times New Roman"/>
          <w:sz w:val="24"/>
        </w:rPr>
        <w:t>供应商到达现场进行采购谈判</w:t>
      </w:r>
      <w:r>
        <w:rPr>
          <w:rFonts w:hint="eastAsia" w:ascii="Times New Roman" w:hAnsi="Times New Roman" w:eastAsia="宋体" w:cs="Times New Roman"/>
          <w:sz w:val="24"/>
        </w:rPr>
        <w:t>时</w:t>
      </w:r>
      <w:r>
        <w:rPr>
          <w:rFonts w:ascii="Times New Roman" w:hAnsi="Times New Roman" w:eastAsia="宋体" w:cs="Times New Roman"/>
          <w:sz w:val="24"/>
        </w:rPr>
        <w:t>，将标书送至现场。</w:t>
      </w:r>
    </w:p>
    <w:p w14:paraId="5B9D9A4E">
      <w:pPr>
        <w:numPr>
          <w:ilvl w:val="0"/>
          <w:numId w:val="2"/>
        </w:numPr>
        <w:spacing w:line="360" w:lineRule="auto"/>
        <w:rPr>
          <w:rFonts w:hint="eastAsia" w:ascii="宋体" w:hAnsi="宋体"/>
          <w:b/>
          <w:bCs/>
          <w:spacing w:val="4"/>
          <w:sz w:val="24"/>
        </w:rPr>
      </w:pPr>
      <w:r>
        <w:rPr>
          <w:rFonts w:hint="eastAsia" w:ascii="宋体" w:hAnsi="宋体"/>
          <w:b/>
          <w:bCs/>
          <w:spacing w:val="4"/>
          <w:sz w:val="24"/>
        </w:rPr>
        <w:t>谈判方式</w:t>
      </w:r>
    </w:p>
    <w:p w14:paraId="48357F2C">
      <w:pPr>
        <w:numPr>
          <w:ilvl w:val="0"/>
          <w:numId w:val="3"/>
        </w:numPr>
        <w:spacing w:line="360" w:lineRule="auto"/>
        <w:ind w:firstLine="498" w:firstLineChars="200"/>
        <w:rPr>
          <w:rFonts w:hint="eastAsia" w:ascii="宋体" w:hAnsi="宋体" w:eastAsia="宋体" w:cs="宋体"/>
          <w:b/>
          <w:bCs/>
          <w:spacing w:val="4"/>
          <w:sz w:val="24"/>
        </w:rPr>
      </w:pPr>
      <w:r>
        <w:rPr>
          <w:rFonts w:hint="eastAsia" w:ascii="宋体" w:hAnsi="宋体" w:eastAsia="宋体" w:cs="宋体"/>
          <w:b/>
          <w:bCs/>
          <w:spacing w:val="4"/>
          <w:sz w:val="24"/>
        </w:rPr>
        <w:t>现场谈判。</w:t>
      </w:r>
    </w:p>
    <w:p w14:paraId="475C96D9">
      <w:pPr>
        <w:numPr>
          <w:ilvl w:val="0"/>
          <w:numId w:val="3"/>
        </w:numPr>
        <w:spacing w:line="360" w:lineRule="auto"/>
        <w:ind w:firstLine="498" w:firstLineChars="200"/>
        <w:rPr>
          <w:rFonts w:hint="eastAsia" w:ascii="宋体" w:hAnsi="宋体"/>
          <w:b/>
          <w:bCs/>
          <w:spacing w:val="4"/>
          <w:sz w:val="24"/>
        </w:rPr>
      </w:pPr>
      <w:r>
        <w:rPr>
          <w:rFonts w:hint="eastAsia" w:ascii="宋体" w:hAnsi="宋体" w:eastAsia="宋体" w:cs="宋体"/>
          <w:b/>
          <w:bCs/>
          <w:spacing w:val="4"/>
          <w:sz w:val="24"/>
        </w:rPr>
        <w:t>谈判时间：</w:t>
      </w:r>
      <w:r>
        <w:rPr>
          <w:rFonts w:hint="eastAsia" w:ascii="宋体" w:hAnsi="宋体" w:eastAsia="宋体" w:cs="宋体"/>
          <w:spacing w:val="4"/>
          <w:sz w:val="24"/>
        </w:rPr>
        <w:t>2025年7月21日14时00分。</w:t>
      </w:r>
    </w:p>
    <w:p w14:paraId="4613D0D5">
      <w:pPr>
        <w:numPr>
          <w:ilvl w:val="0"/>
          <w:numId w:val="2"/>
        </w:numPr>
        <w:spacing w:line="360" w:lineRule="auto"/>
        <w:rPr>
          <w:rFonts w:hint="eastAsia" w:ascii="宋体" w:hAnsi="宋体"/>
          <w:b/>
          <w:bCs/>
          <w:spacing w:val="4"/>
          <w:sz w:val="24"/>
        </w:rPr>
      </w:pPr>
      <w:r>
        <w:rPr>
          <w:rFonts w:hint="eastAsia" w:ascii="宋体" w:hAnsi="宋体"/>
          <w:b/>
          <w:bCs/>
          <w:spacing w:val="4"/>
          <w:sz w:val="24"/>
        </w:rPr>
        <w:t>谈判地点</w:t>
      </w:r>
    </w:p>
    <w:p w14:paraId="013F5898">
      <w:pPr>
        <w:spacing w:line="360" w:lineRule="auto"/>
        <w:ind w:left="420" w:leftChars="200" w:firstLine="496" w:firstLineChars="200"/>
        <w:rPr>
          <w:rFonts w:hint="eastAsia" w:ascii="宋体" w:hAnsi="宋体" w:eastAsia="宋体" w:cs="宋体"/>
          <w:sz w:val="24"/>
        </w:rPr>
      </w:pPr>
      <w:r>
        <w:rPr>
          <w:rFonts w:hint="eastAsia" w:ascii="宋体" w:hAnsi="宋体" w:eastAsia="宋体" w:cs="宋体"/>
          <w:spacing w:val="4"/>
          <w:sz w:val="24"/>
        </w:rPr>
        <w:t>江南大学逸夫楼A202</w:t>
      </w:r>
    </w:p>
    <w:p w14:paraId="76367131">
      <w:pPr>
        <w:numPr>
          <w:ilvl w:val="0"/>
          <w:numId w:val="2"/>
        </w:numPr>
        <w:spacing w:line="360" w:lineRule="auto"/>
        <w:rPr>
          <w:rFonts w:hint="eastAsia" w:ascii="宋体" w:hAnsi="宋体"/>
          <w:b/>
          <w:bCs/>
          <w:spacing w:val="4"/>
          <w:sz w:val="24"/>
        </w:rPr>
      </w:pPr>
      <w:r>
        <w:rPr>
          <w:rFonts w:hint="eastAsia" w:ascii="宋体" w:hAnsi="宋体"/>
          <w:b/>
          <w:bCs/>
          <w:spacing w:val="4"/>
          <w:sz w:val="24"/>
        </w:rPr>
        <w:t>与本次校内分散采购有关的事宜请按下列通讯方式联系：</w:t>
      </w:r>
    </w:p>
    <w:p w14:paraId="21A16AED">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单位部门：江南大学信息化建设管理处</w:t>
      </w:r>
    </w:p>
    <w:p w14:paraId="488FCA5B">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4F52F11B">
      <w:pPr>
        <w:spacing w:line="360" w:lineRule="auto"/>
        <w:ind w:firstLine="496" w:firstLineChars="200"/>
        <w:rPr>
          <w:rFonts w:hint="eastAsia" w:ascii="宋体" w:hAnsi="宋体" w:eastAsia="宋体" w:cs="宋体"/>
          <w:spacing w:val="4"/>
          <w:sz w:val="24"/>
        </w:rPr>
      </w:pPr>
      <w:r>
        <w:rPr>
          <w:rFonts w:hint="eastAsia" w:ascii="宋体" w:hAnsi="宋体" w:cs="宋体"/>
          <w:spacing w:val="4"/>
          <w:sz w:val="24"/>
        </w:rPr>
        <w:t>联系人：</w:t>
      </w:r>
      <w:r>
        <w:rPr>
          <w:rFonts w:hint="eastAsia" w:ascii="宋体" w:hAnsi="宋体" w:eastAsia="宋体" w:cs="宋体"/>
          <w:spacing w:val="4"/>
          <w:sz w:val="24"/>
        </w:rPr>
        <w:t>陆老师</w:t>
      </w:r>
      <w:r>
        <w:rPr>
          <w:rFonts w:hint="eastAsia" w:ascii="宋体" w:hAnsi="宋体" w:cs="宋体"/>
          <w:spacing w:val="4"/>
          <w:sz w:val="24"/>
        </w:rPr>
        <w:t xml:space="preserve">                   </w:t>
      </w:r>
      <w:r>
        <w:rPr>
          <w:rFonts w:hint="eastAsia" w:ascii="宋体" w:hAnsi="宋体" w:eastAsia="宋体" w:cs="宋体"/>
          <w:spacing w:val="4"/>
          <w:sz w:val="24"/>
        </w:rPr>
        <w:t>联系电话：0510-85910606</w:t>
      </w:r>
    </w:p>
    <w:p w14:paraId="3BF86FCD">
      <w:pPr>
        <w:rPr>
          <w:rFonts w:hint="eastAsia" w:ascii="宋体" w:hAnsi="宋体" w:cs="宋体"/>
          <w:sz w:val="24"/>
        </w:rPr>
      </w:pPr>
    </w:p>
    <w:p w14:paraId="44E5E0E4">
      <w:pPr>
        <w:spacing w:line="360" w:lineRule="auto"/>
        <w:ind w:firstLine="480" w:firstLineChars="200"/>
        <w:rPr>
          <w:rFonts w:hint="eastAsia" w:asciiTheme="minorEastAsia" w:hAnsiTheme="minorEastAsia" w:cstheme="minorEastAsia"/>
          <w:sz w:val="24"/>
        </w:rPr>
      </w:pPr>
    </w:p>
    <w:p w14:paraId="41F1675D">
      <w:pPr>
        <w:spacing w:line="360" w:lineRule="auto"/>
        <w:ind w:firstLine="480" w:firstLineChars="200"/>
        <w:rPr>
          <w:rFonts w:hint="eastAsia" w:asciiTheme="minorEastAsia" w:hAnsiTheme="minorEastAsia" w:cstheme="minorEastAsia"/>
          <w:sz w:val="24"/>
        </w:rPr>
      </w:pPr>
    </w:p>
    <w:p w14:paraId="65174123">
      <w:pPr>
        <w:spacing w:line="360" w:lineRule="auto"/>
        <w:ind w:firstLine="480" w:firstLineChars="200"/>
        <w:rPr>
          <w:rFonts w:hint="eastAsia" w:asciiTheme="minorEastAsia" w:hAnsiTheme="minorEastAsia" w:cstheme="minorEastAsia"/>
          <w:sz w:val="24"/>
        </w:rPr>
      </w:pPr>
    </w:p>
    <w:p w14:paraId="482ABA33">
      <w:pPr>
        <w:spacing w:line="360" w:lineRule="auto"/>
        <w:ind w:firstLine="480" w:firstLineChars="200"/>
        <w:rPr>
          <w:rFonts w:hint="eastAsia" w:asciiTheme="minorEastAsia" w:hAnsiTheme="minorEastAsia" w:cstheme="minorEastAsia"/>
          <w:sz w:val="24"/>
        </w:rPr>
      </w:pPr>
    </w:p>
    <w:p w14:paraId="2A36123E">
      <w:pPr>
        <w:spacing w:line="360" w:lineRule="auto"/>
        <w:ind w:firstLine="480" w:firstLineChars="200"/>
        <w:rPr>
          <w:rFonts w:hint="eastAsia" w:asciiTheme="minorEastAsia" w:hAnsiTheme="minorEastAsia" w:cstheme="minorEastAsia"/>
          <w:sz w:val="24"/>
        </w:rPr>
      </w:pPr>
    </w:p>
    <w:p w14:paraId="77669496">
      <w:pPr>
        <w:spacing w:line="360" w:lineRule="auto"/>
        <w:ind w:firstLine="480" w:firstLineChars="200"/>
        <w:rPr>
          <w:rFonts w:hint="eastAsia" w:asciiTheme="minorEastAsia" w:hAnsiTheme="minorEastAsia" w:cstheme="minorEastAsia"/>
          <w:sz w:val="24"/>
        </w:rPr>
      </w:pPr>
    </w:p>
    <w:p w14:paraId="355F23F2">
      <w:pPr>
        <w:spacing w:line="360" w:lineRule="auto"/>
        <w:ind w:firstLine="480" w:firstLineChars="200"/>
        <w:rPr>
          <w:rFonts w:hint="eastAsia" w:asciiTheme="minorEastAsia" w:hAnsiTheme="minorEastAsia" w:cstheme="minorEastAsia"/>
          <w:sz w:val="24"/>
        </w:rPr>
      </w:pPr>
    </w:p>
    <w:p w14:paraId="1DF2D2A8">
      <w:pPr>
        <w:spacing w:line="360" w:lineRule="auto"/>
        <w:ind w:firstLine="480" w:firstLineChars="200"/>
        <w:rPr>
          <w:rFonts w:hint="eastAsia" w:asciiTheme="minorEastAsia" w:hAnsiTheme="minorEastAsia" w:cstheme="minorEastAsia"/>
          <w:sz w:val="24"/>
        </w:rPr>
      </w:pPr>
    </w:p>
    <w:p w14:paraId="07884569">
      <w:pPr>
        <w:spacing w:line="360" w:lineRule="auto"/>
        <w:ind w:firstLine="480" w:firstLineChars="200"/>
        <w:rPr>
          <w:rFonts w:hint="eastAsia" w:asciiTheme="minorEastAsia" w:hAnsiTheme="minorEastAsia" w:cstheme="minorEastAsia"/>
          <w:sz w:val="24"/>
        </w:rPr>
      </w:pPr>
    </w:p>
    <w:p w14:paraId="11DB8079">
      <w:pPr>
        <w:spacing w:line="360" w:lineRule="auto"/>
        <w:ind w:firstLine="480" w:firstLineChars="200"/>
        <w:rPr>
          <w:rFonts w:hint="eastAsia" w:asciiTheme="minorEastAsia" w:hAnsiTheme="minorEastAsia" w:cstheme="minorEastAsia"/>
          <w:sz w:val="24"/>
        </w:rPr>
      </w:pPr>
    </w:p>
    <w:p w14:paraId="2CDC65B2">
      <w:pPr>
        <w:pStyle w:val="2"/>
        <w:rPr>
          <w:rFonts w:hint="eastAsia" w:ascii="宋体" w:hAnsi="宋体"/>
        </w:rPr>
      </w:pPr>
      <w:bookmarkStart w:id="1" w:name="_Toc5504"/>
    </w:p>
    <w:p w14:paraId="1E3618EF">
      <w:pPr>
        <w:rPr>
          <w:rFonts w:hint="eastAsia" w:ascii="宋体" w:hAnsi="宋体"/>
        </w:rPr>
      </w:pPr>
    </w:p>
    <w:p w14:paraId="1C67564D">
      <w:pPr>
        <w:rPr>
          <w:rFonts w:hint="eastAsia" w:ascii="宋体" w:hAnsi="宋体"/>
        </w:rPr>
      </w:pPr>
    </w:p>
    <w:p w14:paraId="43669AC5">
      <w:pPr>
        <w:rPr>
          <w:rFonts w:hint="eastAsia" w:ascii="宋体" w:hAnsi="宋体"/>
        </w:rPr>
      </w:pPr>
    </w:p>
    <w:p w14:paraId="524C4664">
      <w:pPr>
        <w:rPr>
          <w:rFonts w:hint="eastAsia" w:ascii="宋体" w:hAnsi="宋体"/>
        </w:rPr>
      </w:pPr>
    </w:p>
    <w:p w14:paraId="53354777">
      <w:pPr>
        <w:rPr>
          <w:rFonts w:hint="eastAsia" w:ascii="宋体" w:hAnsi="宋体"/>
        </w:rPr>
      </w:pPr>
    </w:p>
    <w:p w14:paraId="3E03719A"/>
    <w:p w14:paraId="252A04D4">
      <w:pPr>
        <w:rPr>
          <w:rFonts w:hint="eastAsia" w:ascii="宋体" w:hAnsi="宋体"/>
        </w:rPr>
      </w:pPr>
      <w:r>
        <w:rPr>
          <w:rFonts w:hint="eastAsia" w:ascii="宋体" w:hAnsi="宋体"/>
        </w:rPr>
        <w:br w:type="page"/>
      </w:r>
    </w:p>
    <w:p w14:paraId="5807F15C">
      <w:pPr>
        <w:pStyle w:val="2"/>
        <w:jc w:val="center"/>
        <w:rPr>
          <w:rFonts w:hint="eastAsia" w:ascii="宋体" w:hAnsi="宋体"/>
        </w:rPr>
      </w:pPr>
      <w:r>
        <w:rPr>
          <w:rFonts w:hint="eastAsia" w:ascii="宋体" w:hAnsi="宋体"/>
        </w:rPr>
        <w:t>第二部分 供应商须知</w:t>
      </w:r>
      <w:bookmarkEnd w:id="1"/>
    </w:p>
    <w:p w14:paraId="43C3470A">
      <w:pPr>
        <w:pStyle w:val="3"/>
        <w:numPr>
          <w:ilvl w:val="0"/>
          <w:numId w:val="4"/>
        </w:numPr>
        <w:spacing w:before="0" w:after="0" w:line="420" w:lineRule="auto"/>
        <w:rPr>
          <w:rFonts w:hint="eastAsia" w:ascii="宋体" w:hAnsi="宋体" w:eastAsia="宋体" w:cs="宋体"/>
          <w:bCs w:val="0"/>
          <w:sz w:val="24"/>
        </w:rPr>
      </w:pPr>
      <w:bookmarkStart w:id="2" w:name="_Toc12098"/>
      <w:r>
        <w:rPr>
          <w:rFonts w:hint="eastAsia" w:ascii="宋体" w:hAnsi="宋体"/>
        </w:rPr>
        <w:t>采购文件</w:t>
      </w:r>
      <w:bookmarkEnd w:id="2"/>
    </w:p>
    <w:p w14:paraId="358924B3">
      <w:pPr>
        <w:pStyle w:val="3"/>
        <w:spacing w:before="0" w:after="0" w:line="420" w:lineRule="auto"/>
        <w:ind w:firstLine="482" w:firstLineChars="200"/>
        <w:rPr>
          <w:rFonts w:hint="eastAsia" w:ascii="宋体" w:hAnsi="宋体" w:eastAsia="宋体" w:cs="宋体"/>
          <w:bCs w:val="0"/>
          <w:sz w:val="24"/>
        </w:rPr>
      </w:pPr>
      <w:r>
        <w:rPr>
          <w:rFonts w:hint="eastAsia" w:ascii="宋体" w:hAnsi="宋体" w:eastAsia="宋体" w:cs="宋体"/>
          <w:bCs w:val="0"/>
          <w:sz w:val="24"/>
        </w:rPr>
        <w:t>1.1 名词定义</w:t>
      </w:r>
    </w:p>
    <w:p w14:paraId="6951A73D">
      <w:pPr>
        <w:spacing w:line="360" w:lineRule="auto"/>
        <w:ind w:firstLine="480" w:firstLineChars="200"/>
        <w:rPr>
          <w:rFonts w:hint="eastAsia" w:ascii="宋体" w:hAnsi="宋体"/>
          <w:sz w:val="24"/>
        </w:rPr>
      </w:pPr>
      <w:r>
        <w:rPr>
          <w:rFonts w:hint="eastAsia" w:ascii="宋体" w:hAnsi="宋体"/>
          <w:sz w:val="24"/>
        </w:rPr>
        <w:t>本招标文件中的采购人、供应商、中标人分别指：</w:t>
      </w:r>
    </w:p>
    <w:p w14:paraId="7C89C28C">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4BF96A9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3A7A4AAA">
      <w:pPr>
        <w:spacing w:line="360" w:lineRule="auto"/>
        <w:ind w:firstLine="480" w:firstLineChars="200"/>
        <w:rPr>
          <w:rFonts w:hint="eastAsia" w:ascii="宋体" w:hAnsi="宋体"/>
          <w:sz w:val="24"/>
        </w:rPr>
      </w:pPr>
      <w:r>
        <w:rPr>
          <w:rFonts w:hint="eastAsia" w:ascii="宋体" w:hAnsi="宋体"/>
          <w:sz w:val="24"/>
        </w:rPr>
        <w:t>（3）中标人指最后中标的供应商，亦称卖方。</w:t>
      </w:r>
    </w:p>
    <w:p w14:paraId="008F3D9E">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123B926B">
      <w:pPr>
        <w:spacing w:line="360" w:lineRule="auto"/>
        <w:ind w:firstLine="480" w:firstLineChars="200"/>
        <w:rPr>
          <w:rFonts w:hint="eastAsia" w:ascii="宋体" w:hAnsi="宋体"/>
          <w:sz w:val="24"/>
        </w:rPr>
      </w:pPr>
      <w:r>
        <w:rPr>
          <w:rFonts w:hint="eastAsia" w:ascii="宋体" w:hAnsi="宋体"/>
          <w:sz w:val="24"/>
        </w:rPr>
        <w:t>本采购文件由下列部分组成：</w:t>
      </w:r>
    </w:p>
    <w:p w14:paraId="126CD94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74D960C8">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5262E03D">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364164E5">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05C86BC7">
      <w:pPr>
        <w:spacing w:line="360" w:lineRule="auto"/>
        <w:ind w:firstLine="480" w:firstLineChars="200"/>
        <w:rPr>
          <w:rFonts w:hint="eastAsia" w:ascii="宋体" w:hAnsi="宋体"/>
          <w:sz w:val="24"/>
        </w:rPr>
      </w:pPr>
      <w:r>
        <w:rPr>
          <w:rFonts w:hint="eastAsia" w:ascii="宋体" w:hAnsi="宋体"/>
          <w:sz w:val="24"/>
        </w:rPr>
        <w:t>（5）附件目录及格式</w:t>
      </w:r>
    </w:p>
    <w:p w14:paraId="74DB68D0">
      <w:pPr>
        <w:spacing w:line="360" w:lineRule="auto"/>
        <w:ind w:firstLine="480" w:firstLineChars="200"/>
        <w:rPr>
          <w:rFonts w:hint="eastAsia"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2050E442">
      <w:pPr>
        <w:pStyle w:val="3"/>
        <w:numPr>
          <w:ilvl w:val="0"/>
          <w:numId w:val="4"/>
        </w:numPr>
        <w:spacing w:before="0" w:after="0" w:line="420" w:lineRule="auto"/>
        <w:rPr>
          <w:rFonts w:hint="eastAsia" w:ascii="宋体" w:hAnsi="宋体"/>
        </w:rPr>
      </w:pPr>
      <w:bookmarkStart w:id="3" w:name="_Toc16158"/>
      <w:r>
        <w:rPr>
          <w:rFonts w:hint="eastAsia" w:ascii="宋体" w:hAnsi="宋体"/>
        </w:rPr>
        <w:t>投标</w:t>
      </w:r>
      <w:bookmarkEnd w:id="3"/>
      <w:r>
        <w:rPr>
          <w:rFonts w:hint="eastAsia" w:ascii="宋体" w:hAnsi="宋体"/>
        </w:rPr>
        <w:t>文件的编制</w:t>
      </w:r>
    </w:p>
    <w:p w14:paraId="5A5172A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1A80667">
      <w:pPr>
        <w:spacing w:line="360" w:lineRule="auto"/>
        <w:ind w:firstLine="480" w:firstLineChars="200"/>
        <w:rPr>
          <w:rFonts w:hint="eastAsia"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260A4475">
      <w:pPr>
        <w:spacing w:line="360" w:lineRule="auto"/>
        <w:ind w:firstLine="480" w:firstLineChars="200"/>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72F10854">
      <w:pPr>
        <w:spacing w:line="360" w:lineRule="auto"/>
        <w:ind w:firstLine="480" w:firstLineChars="200"/>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23D9835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6A8FF2AC">
      <w:pPr>
        <w:spacing w:line="360" w:lineRule="auto"/>
        <w:ind w:firstLine="480" w:firstLineChars="200"/>
        <w:rPr>
          <w:rFonts w:hint="eastAsia"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2F5DA36D">
      <w:pPr>
        <w:spacing w:line="360" w:lineRule="auto"/>
        <w:ind w:firstLine="480" w:firstLineChars="200"/>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3653588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3677006A">
      <w:pPr>
        <w:spacing w:line="360" w:lineRule="auto"/>
        <w:ind w:firstLine="480" w:firstLineChars="200"/>
        <w:rPr>
          <w:rFonts w:hint="eastAsia" w:ascii="宋体" w:hAnsi="宋体" w:eastAsia="宋体" w:cs="宋体"/>
          <w:sz w:val="24"/>
        </w:rPr>
      </w:pPr>
      <w:r>
        <w:rPr>
          <w:rFonts w:ascii="宋体" w:hAnsi="宋体" w:eastAsia="宋体" w:cs="宋体"/>
          <w:sz w:val="24"/>
        </w:rPr>
        <w:t>从投标人提交投标文件之日起，投标文件的有效期为90天。</w:t>
      </w:r>
    </w:p>
    <w:p w14:paraId="0E57BB27">
      <w:pPr>
        <w:spacing w:line="360" w:lineRule="auto"/>
        <w:ind w:firstLine="482" w:firstLineChars="200"/>
        <w:rPr>
          <w:rFonts w:hint="eastAsia" w:ascii="宋体" w:hAnsi="宋体"/>
          <w:b/>
          <w:bCs/>
          <w:sz w:val="24"/>
        </w:rPr>
      </w:pPr>
      <w:r>
        <w:rPr>
          <w:rFonts w:hint="eastAsia" w:ascii="宋体" w:hAnsi="宋体"/>
          <w:b/>
          <w:bCs/>
          <w:sz w:val="24"/>
        </w:rPr>
        <w:t>2.4 投标文件的组成</w:t>
      </w:r>
    </w:p>
    <w:p w14:paraId="56B37612">
      <w:pPr>
        <w:spacing w:line="360" w:lineRule="auto"/>
        <w:ind w:firstLine="480" w:firstLineChars="200"/>
        <w:rPr>
          <w:rFonts w:hint="eastAsia"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3DC58581">
      <w:pPr>
        <w:spacing w:line="360" w:lineRule="auto"/>
        <w:ind w:firstLine="480" w:firstLineChars="200"/>
        <w:rPr>
          <w:rFonts w:hint="eastAsia"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5D9F6E18">
      <w:pPr>
        <w:spacing w:line="360" w:lineRule="auto"/>
        <w:ind w:firstLine="480" w:firstLineChars="200"/>
        <w:rPr>
          <w:rFonts w:hint="eastAsia" w:ascii="宋体" w:hAnsi="宋体"/>
          <w:sz w:val="24"/>
        </w:rPr>
      </w:pPr>
      <w:r>
        <w:rPr>
          <w:rFonts w:hint="eastAsia" w:ascii="宋体" w:hAnsi="宋体"/>
          <w:sz w:val="24"/>
        </w:rPr>
        <w:t>（2）投标函（格式见附件2）；</w:t>
      </w:r>
    </w:p>
    <w:p w14:paraId="484F6C74">
      <w:pPr>
        <w:spacing w:line="360" w:lineRule="auto"/>
        <w:ind w:firstLine="480" w:firstLineChars="200"/>
        <w:rPr>
          <w:rFonts w:hint="eastAsia"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2A0080E6">
      <w:pPr>
        <w:spacing w:line="360" w:lineRule="auto"/>
        <w:ind w:firstLine="480" w:firstLineChars="200"/>
        <w:rPr>
          <w:rFonts w:hint="eastAsia" w:ascii="宋体" w:hAnsi="宋体"/>
          <w:sz w:val="24"/>
        </w:rPr>
      </w:pPr>
      <w:r>
        <w:rPr>
          <w:rFonts w:hint="eastAsia" w:ascii="宋体" w:hAnsi="宋体"/>
          <w:sz w:val="24"/>
        </w:rPr>
        <w:t>（4）项目清单及分项报价表（格式见附件3）；</w:t>
      </w:r>
    </w:p>
    <w:p w14:paraId="705DBA77">
      <w:pPr>
        <w:spacing w:line="360" w:lineRule="auto"/>
        <w:ind w:firstLine="480" w:firstLineChars="200"/>
        <w:rPr>
          <w:rFonts w:hint="eastAsia" w:ascii="宋体" w:hAnsi="宋体"/>
          <w:sz w:val="24"/>
        </w:rPr>
      </w:pPr>
      <w:r>
        <w:rPr>
          <w:rFonts w:hint="eastAsia" w:ascii="宋体" w:hAnsi="宋体"/>
          <w:sz w:val="24"/>
        </w:rPr>
        <w:t>（5）技术规格响应/偏离表（格式见附件4）；</w:t>
      </w:r>
    </w:p>
    <w:p w14:paraId="56C748F0">
      <w:pPr>
        <w:spacing w:line="360" w:lineRule="auto"/>
        <w:ind w:firstLine="480" w:firstLineChars="200"/>
        <w:rPr>
          <w:rFonts w:hint="eastAsia" w:ascii="宋体" w:hAnsi="宋体" w:cs="宋体"/>
          <w:sz w:val="24"/>
        </w:rPr>
      </w:pPr>
      <w:r>
        <w:rPr>
          <w:rFonts w:hint="eastAsia" w:ascii="宋体" w:hAnsi="宋体" w:cs="宋体"/>
          <w:sz w:val="24"/>
        </w:rPr>
        <w:t>（6）项目要求及有关说明中要求提供的相关材料；</w:t>
      </w:r>
    </w:p>
    <w:p w14:paraId="3645F3A2">
      <w:pPr>
        <w:spacing w:line="360" w:lineRule="auto"/>
        <w:ind w:firstLine="480" w:firstLineChars="200"/>
        <w:rPr>
          <w:rFonts w:hint="eastAsia" w:ascii="宋体" w:hAnsi="宋体" w:cs="宋体"/>
          <w:sz w:val="24"/>
        </w:rPr>
      </w:pPr>
      <w:r>
        <w:rPr>
          <w:rFonts w:hint="eastAsia" w:ascii="宋体" w:hAnsi="宋体" w:cs="宋体"/>
          <w:sz w:val="24"/>
        </w:rPr>
        <w:t>（7）供应商认为需要陈述的其他内容。</w:t>
      </w:r>
    </w:p>
    <w:p w14:paraId="34A05C87">
      <w:pPr>
        <w:spacing w:line="360" w:lineRule="auto"/>
        <w:ind w:firstLine="590" w:firstLineChars="245"/>
        <w:rPr>
          <w:rFonts w:hint="eastAsia"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070A763F">
      <w:pPr>
        <w:spacing w:line="360" w:lineRule="auto"/>
        <w:ind w:firstLine="480" w:firstLineChars="200"/>
        <w:rPr>
          <w:rFonts w:hint="eastAsia" w:ascii="宋体" w:hAnsi="宋体"/>
          <w:sz w:val="24"/>
        </w:rPr>
      </w:pPr>
      <w:r>
        <w:rPr>
          <w:rFonts w:hint="eastAsia" w:ascii="宋体" w:hAnsi="宋体"/>
          <w:sz w:val="24"/>
        </w:rPr>
        <w:t>（1）营业执照副本复印件；</w:t>
      </w:r>
    </w:p>
    <w:p w14:paraId="37670223">
      <w:pPr>
        <w:spacing w:line="360" w:lineRule="auto"/>
        <w:ind w:firstLine="480" w:firstLineChars="200"/>
        <w:rPr>
          <w:rFonts w:hint="eastAsia"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05C9DBD9">
      <w:pPr>
        <w:spacing w:line="360" w:lineRule="auto"/>
        <w:ind w:firstLine="480" w:firstLineChars="200"/>
        <w:rPr>
          <w:rFonts w:hint="eastAsia"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2C03D339">
      <w:pPr>
        <w:spacing w:line="360" w:lineRule="auto"/>
        <w:ind w:firstLine="590" w:firstLineChars="245"/>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29CAFECF">
      <w:pPr>
        <w:spacing w:line="360" w:lineRule="auto"/>
        <w:ind w:firstLine="480" w:firstLineChars="200"/>
        <w:rPr>
          <w:rFonts w:hint="eastAsia"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6B9E2184">
      <w:pPr>
        <w:spacing w:line="360" w:lineRule="auto"/>
        <w:ind w:firstLine="482" w:firstLineChars="200"/>
        <w:rPr>
          <w:rFonts w:hint="eastAsia"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2C78A86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2BE092F1">
      <w:pPr>
        <w:spacing w:line="360" w:lineRule="auto"/>
        <w:ind w:firstLine="480" w:firstLineChars="200"/>
        <w:rPr>
          <w:rFonts w:hint="eastAsia" w:ascii="宋体" w:hAnsi="宋体"/>
          <w:sz w:val="24"/>
        </w:rPr>
      </w:pPr>
      <w:r>
        <w:rPr>
          <w:rFonts w:hint="eastAsia" w:ascii="宋体" w:hAnsi="宋体"/>
          <w:sz w:val="24"/>
        </w:rPr>
        <w:t>（4）投标文件不应有涂改、增删之处，但如有错误必须修改时，修改处必须由原被授权人签署。</w:t>
      </w:r>
    </w:p>
    <w:p w14:paraId="6171EB22">
      <w:pPr>
        <w:spacing w:line="360" w:lineRule="auto"/>
        <w:ind w:firstLine="472" w:firstLineChars="196"/>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6A567168">
      <w:pPr>
        <w:spacing w:line="360" w:lineRule="auto"/>
        <w:ind w:firstLine="470" w:firstLineChars="196"/>
        <w:rPr>
          <w:rFonts w:hint="eastAsia"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11499EDE">
      <w:pPr>
        <w:spacing w:line="360" w:lineRule="auto"/>
        <w:ind w:firstLine="480" w:firstLineChars="200"/>
        <w:rPr>
          <w:rFonts w:hint="eastAsia" w:ascii="宋体" w:hAnsi="宋体"/>
          <w:sz w:val="24"/>
        </w:rPr>
      </w:pPr>
      <w:r>
        <w:rPr>
          <w:rFonts w:hint="eastAsia" w:ascii="宋体" w:hAnsi="宋体"/>
          <w:sz w:val="24"/>
        </w:rPr>
        <w:t>（1）收    件    人：江南大学信息化建设管理处</w:t>
      </w:r>
    </w:p>
    <w:p w14:paraId="50605655">
      <w:pPr>
        <w:spacing w:line="360" w:lineRule="auto"/>
        <w:ind w:firstLine="480" w:firstLineChars="200"/>
        <w:rPr>
          <w:rFonts w:hint="eastAsia" w:ascii="宋体" w:hAnsi="宋体"/>
          <w:sz w:val="24"/>
        </w:rPr>
      </w:pPr>
      <w:r>
        <w:rPr>
          <w:rFonts w:hint="eastAsia" w:ascii="宋体" w:hAnsi="宋体"/>
          <w:sz w:val="24"/>
        </w:rPr>
        <w:t>（2）信息化项目编号：</w:t>
      </w:r>
      <w:r>
        <w:rPr>
          <w:rFonts w:ascii="宋体" w:hAnsi="宋体"/>
          <w:sz w:val="24"/>
          <w:u w:val="single"/>
        </w:rPr>
        <w:t xml:space="preserve">                                </w:t>
      </w:r>
    </w:p>
    <w:p w14:paraId="1ADCD0C0">
      <w:pPr>
        <w:spacing w:line="360" w:lineRule="auto"/>
        <w:ind w:firstLine="480" w:firstLineChars="200"/>
        <w:rPr>
          <w:rFonts w:hint="eastAsia" w:ascii="宋体" w:hAnsi="宋体"/>
          <w:sz w:val="24"/>
        </w:rPr>
      </w:pPr>
      <w:r>
        <w:rPr>
          <w:rFonts w:hint="eastAsia" w:ascii="宋体" w:hAnsi="宋体"/>
          <w:sz w:val="24"/>
        </w:rPr>
        <w:t>（3）信息化项目名称：</w:t>
      </w:r>
      <w:r>
        <w:rPr>
          <w:rFonts w:ascii="宋体" w:hAnsi="宋体"/>
          <w:sz w:val="24"/>
          <w:u w:val="single"/>
        </w:rPr>
        <w:t xml:space="preserve">                                </w:t>
      </w:r>
    </w:p>
    <w:p w14:paraId="24410F5F">
      <w:pPr>
        <w:spacing w:line="360" w:lineRule="auto"/>
        <w:ind w:firstLine="480" w:firstLineChars="200"/>
        <w:rPr>
          <w:rFonts w:hint="eastAsia"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6EF77D23">
      <w:pPr>
        <w:spacing w:line="360" w:lineRule="auto"/>
        <w:ind w:firstLine="480" w:firstLineChars="200"/>
        <w:rPr>
          <w:rFonts w:hint="eastAsia"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7888873">
      <w:pPr>
        <w:spacing w:line="360" w:lineRule="auto"/>
        <w:ind w:firstLine="480" w:firstLineChars="200"/>
        <w:rPr>
          <w:rFonts w:hint="eastAsia"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BE76A6F">
      <w:pPr>
        <w:spacing w:line="360" w:lineRule="auto"/>
        <w:ind w:firstLine="480" w:firstLineChars="200"/>
        <w:rPr>
          <w:rFonts w:hint="eastAsia" w:ascii="宋体" w:hAnsi="宋体"/>
          <w:b/>
          <w:sz w:val="24"/>
        </w:rPr>
      </w:pPr>
      <w:r>
        <w:rPr>
          <w:rFonts w:hint="eastAsia" w:ascii="宋体" w:hAnsi="宋体"/>
          <w:sz w:val="24"/>
        </w:rPr>
        <w:t>（7）采购谈判之前不得启封</w:t>
      </w:r>
    </w:p>
    <w:p w14:paraId="37EB092E">
      <w:pPr>
        <w:spacing w:line="360" w:lineRule="auto"/>
        <w:ind w:firstLine="482" w:firstLineChars="200"/>
        <w:rPr>
          <w:rFonts w:hint="eastAsia"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4ECBEFEB">
      <w:pPr>
        <w:spacing w:line="360" w:lineRule="auto"/>
        <w:ind w:firstLine="480" w:firstLineChars="200"/>
        <w:rPr>
          <w:rFonts w:hint="eastAsia"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00BFEBC8">
      <w:pPr>
        <w:spacing w:line="360" w:lineRule="auto"/>
        <w:ind w:firstLine="480" w:firstLineChars="200"/>
        <w:rPr>
          <w:rFonts w:hint="eastAsia" w:ascii="宋体" w:hAnsi="宋体"/>
          <w:b/>
          <w:sz w:val="24"/>
        </w:rPr>
      </w:pPr>
      <w:r>
        <w:rPr>
          <w:rFonts w:hint="eastAsia" w:ascii="宋体" w:hAnsi="宋体"/>
          <w:bCs/>
          <w:sz w:val="24"/>
        </w:rPr>
        <w:t>（2）</w:t>
      </w:r>
      <w:r>
        <w:rPr>
          <w:rFonts w:ascii="Times New Roman" w:hAnsi="Times New Roman" w:eastAsia="宋体" w:cs="Times New Roman"/>
          <w:sz w:val="24"/>
        </w:rPr>
        <w:t>供应商到达现场进行采购谈判</w:t>
      </w:r>
      <w:r>
        <w:rPr>
          <w:rFonts w:hint="eastAsia" w:ascii="Times New Roman" w:hAnsi="Times New Roman" w:eastAsia="宋体" w:cs="Times New Roman"/>
          <w:sz w:val="24"/>
        </w:rPr>
        <w:t>时</w:t>
      </w:r>
      <w:r>
        <w:rPr>
          <w:rFonts w:ascii="Times New Roman" w:hAnsi="Times New Roman" w:eastAsia="宋体" w:cs="Times New Roman"/>
          <w:sz w:val="24"/>
        </w:rPr>
        <w:t>，将标书送至现场。</w:t>
      </w:r>
    </w:p>
    <w:p w14:paraId="5DC5103A">
      <w:pPr>
        <w:spacing w:line="360" w:lineRule="auto"/>
        <w:ind w:firstLine="480" w:firstLineChars="200"/>
        <w:rPr>
          <w:rFonts w:hint="eastAsia" w:ascii="宋体" w:hAnsi="宋体"/>
          <w:sz w:val="24"/>
        </w:rPr>
      </w:pPr>
      <w:r>
        <w:rPr>
          <w:rFonts w:hint="eastAsia" w:ascii="宋体" w:hAnsi="宋体"/>
          <w:sz w:val="24"/>
        </w:rPr>
        <w:t>（3）本项目不接受传真及电子邮件投标。</w:t>
      </w:r>
    </w:p>
    <w:bookmarkEnd w:id="4"/>
    <w:p w14:paraId="6C0C603A">
      <w:pPr>
        <w:pStyle w:val="3"/>
        <w:numPr>
          <w:ilvl w:val="0"/>
          <w:numId w:val="4"/>
        </w:numPr>
        <w:spacing w:before="0" w:after="0" w:line="420" w:lineRule="auto"/>
        <w:rPr>
          <w:rFonts w:hint="eastAsia" w:ascii="宋体" w:hAnsi="宋体"/>
        </w:rPr>
      </w:pPr>
      <w:r>
        <w:rPr>
          <w:rFonts w:hint="eastAsia" w:ascii="宋体" w:hAnsi="宋体"/>
        </w:rPr>
        <w:t>信息化项目校内分散采购谈判</w:t>
      </w:r>
    </w:p>
    <w:p w14:paraId="31D49099">
      <w:pPr>
        <w:spacing w:line="360" w:lineRule="auto"/>
        <w:ind w:firstLine="482" w:firstLineChars="200"/>
        <w:rPr>
          <w:rFonts w:hint="eastAsia"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42BC1D6A">
      <w:pPr>
        <w:spacing w:line="360" w:lineRule="auto"/>
        <w:ind w:firstLine="482" w:firstLineChars="200"/>
        <w:rPr>
          <w:rFonts w:hint="eastAsia" w:ascii="宋体" w:hAnsi="宋体"/>
          <w:b/>
          <w:sz w:val="24"/>
        </w:rPr>
      </w:pPr>
      <w:r>
        <w:rPr>
          <w:rFonts w:hint="eastAsia" w:ascii="宋体" w:hAnsi="宋体"/>
          <w:b/>
          <w:sz w:val="24"/>
        </w:rPr>
        <w:t>3.2 采购谈判流程：</w:t>
      </w:r>
    </w:p>
    <w:p w14:paraId="45C1518F">
      <w:pPr>
        <w:numPr>
          <w:ilvl w:val="0"/>
          <w:numId w:val="5"/>
        </w:numPr>
        <w:spacing w:line="360" w:lineRule="auto"/>
        <w:rPr>
          <w:rFonts w:hint="eastAsia" w:ascii="宋体" w:hAnsi="宋体"/>
          <w:b/>
          <w:sz w:val="24"/>
        </w:rPr>
      </w:pPr>
      <w:r>
        <w:rPr>
          <w:rFonts w:hint="eastAsia" w:ascii="宋体" w:hAnsi="宋体"/>
          <w:b/>
          <w:sz w:val="24"/>
        </w:rPr>
        <w:t>投标人依次进行采购谈判；</w:t>
      </w:r>
    </w:p>
    <w:p w14:paraId="2462C3ED">
      <w:pPr>
        <w:numPr>
          <w:ilvl w:val="0"/>
          <w:numId w:val="5"/>
        </w:numPr>
        <w:spacing w:line="360" w:lineRule="auto"/>
        <w:rPr>
          <w:rFonts w:hint="eastAsia" w:ascii="宋体" w:hAnsi="宋体"/>
          <w:b/>
          <w:sz w:val="24"/>
        </w:rPr>
      </w:pPr>
      <w:r>
        <w:rPr>
          <w:rFonts w:hint="eastAsia" w:ascii="宋体" w:hAnsi="宋体"/>
          <w:b/>
          <w:sz w:val="24"/>
        </w:rPr>
        <w:t>投标人简述项目方案（约5-10分钟）；</w:t>
      </w:r>
    </w:p>
    <w:p w14:paraId="7C0320ED">
      <w:pPr>
        <w:numPr>
          <w:ilvl w:val="0"/>
          <w:numId w:val="5"/>
        </w:numPr>
        <w:spacing w:line="360" w:lineRule="auto"/>
        <w:rPr>
          <w:rFonts w:hint="eastAsia" w:ascii="宋体" w:hAnsi="宋体"/>
          <w:b/>
          <w:sz w:val="24"/>
        </w:rPr>
      </w:pPr>
      <w:r>
        <w:rPr>
          <w:rFonts w:hint="eastAsia" w:ascii="宋体" w:hAnsi="宋体"/>
          <w:b/>
          <w:sz w:val="24"/>
        </w:rPr>
        <w:t>采购人询问采购项目相关问题；</w:t>
      </w:r>
    </w:p>
    <w:p w14:paraId="1F132F64">
      <w:pPr>
        <w:numPr>
          <w:ilvl w:val="0"/>
          <w:numId w:val="5"/>
        </w:numPr>
        <w:spacing w:line="360" w:lineRule="auto"/>
        <w:rPr>
          <w:rFonts w:hint="eastAsia"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3E0DDC94">
      <w:pPr>
        <w:numPr>
          <w:ilvl w:val="0"/>
          <w:numId w:val="5"/>
        </w:numPr>
        <w:spacing w:line="360" w:lineRule="auto"/>
        <w:rPr>
          <w:rFonts w:hint="eastAsia" w:ascii="宋体" w:hAnsi="宋体"/>
          <w:b/>
          <w:sz w:val="24"/>
        </w:rPr>
      </w:pPr>
      <w:r>
        <w:rPr>
          <w:rFonts w:hint="eastAsia" w:ascii="宋体" w:hAnsi="宋体"/>
          <w:b/>
          <w:sz w:val="24"/>
        </w:rPr>
        <w:t>信息化项目校内分散采购谈判评审小组综合评审确认供应商；</w:t>
      </w:r>
    </w:p>
    <w:p w14:paraId="34D3FE05">
      <w:pPr>
        <w:numPr>
          <w:ilvl w:val="0"/>
          <w:numId w:val="5"/>
        </w:numPr>
        <w:spacing w:line="360" w:lineRule="auto"/>
        <w:rPr>
          <w:rFonts w:hint="eastAsia" w:ascii="宋体" w:hAnsi="宋体"/>
          <w:b/>
          <w:sz w:val="24"/>
        </w:rPr>
      </w:pPr>
      <w:r>
        <w:rPr>
          <w:rFonts w:hint="eastAsia" w:ascii="宋体" w:hAnsi="宋体"/>
          <w:b/>
          <w:sz w:val="24"/>
        </w:rPr>
        <w:t>信息化项目采购谈判结果需在当日发布。</w:t>
      </w:r>
    </w:p>
    <w:p w14:paraId="43C4E10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306504F">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第一条：投标方案需均满足采购文件的采购需求。</w:t>
      </w:r>
    </w:p>
    <w:p w14:paraId="7410989A">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第二条：评审小组依据演示内容进行评分（平均分），优秀（80以上）、良好（70-80）、合格（60-70）、不合格（60以下）。</w:t>
      </w:r>
    </w:p>
    <w:p w14:paraId="15D0BAD8">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本次采购以满足采购人业务需求程度，择优确定供应商。</w:t>
      </w:r>
    </w:p>
    <w:p w14:paraId="26E9A360">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（1）未满足“第一条”的供应商视为无效响应。</w:t>
      </w:r>
    </w:p>
    <w:p w14:paraId="3B780E91">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（2）满足“第一条”的情况下，选择演示评分最高的供应商。</w:t>
      </w:r>
    </w:p>
    <w:p w14:paraId="7A816C02">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（3）满足“第一条”，且演示评分相同的情况下，选择二次报价最低的供应商。</w:t>
      </w:r>
    </w:p>
    <w:p w14:paraId="020F2A67">
      <w:pPr>
        <w:spacing w:line="360" w:lineRule="auto"/>
        <w:ind w:firstLine="480" w:firstLineChars="200"/>
        <w:rPr>
          <w:rFonts w:hint="default" w:ascii="宋体" w:hAnsi="宋体"/>
          <w:bCs/>
          <w:sz w:val="24"/>
          <w:lang w:val="en-US" w:eastAsia="zh-CN"/>
        </w:rPr>
      </w:pPr>
      <w:r>
        <w:rPr>
          <w:rFonts w:hint="eastAsia" w:ascii="宋体" w:hAnsi="宋体"/>
          <w:bCs/>
          <w:sz w:val="24"/>
          <w:lang w:val="en-US" w:eastAsia="zh-CN"/>
        </w:rPr>
        <w:t>（4）参加采购谈判的供应商均未满足“第一条”,或满足“第一条”，但是演示评分均不合格，</w:t>
      </w:r>
      <w:r>
        <w:rPr>
          <w:rFonts w:hint="eastAsia" w:ascii="宋体" w:hAnsi="宋体"/>
          <w:bCs/>
          <w:sz w:val="24"/>
        </w:rPr>
        <w:t>则视为采购谈判失败。</w:t>
      </w:r>
    </w:p>
    <w:p w14:paraId="4BD2A1D0">
      <w:pPr>
        <w:spacing w:line="360" w:lineRule="auto"/>
        <w:ind w:firstLine="482" w:firstLineChars="200"/>
        <w:rPr>
          <w:rFonts w:hint="eastAsia" w:ascii="宋体" w:hAnsi="宋体" w:eastAsia="宋体" w:cs="宋体"/>
          <w:b/>
          <w:sz w:val="24"/>
        </w:rPr>
      </w:pPr>
      <w:bookmarkStart w:id="21" w:name="_GoBack"/>
      <w:bookmarkEnd w:id="21"/>
      <w:r>
        <w:rPr>
          <w:rFonts w:hint="eastAsia" w:ascii="宋体" w:hAnsi="宋体"/>
          <w:b/>
          <w:sz w:val="24"/>
        </w:rPr>
        <w:t xml:space="preserve">3.4 </w:t>
      </w:r>
      <w:r>
        <w:rPr>
          <w:rFonts w:ascii="宋体" w:hAnsi="宋体" w:eastAsia="宋体" w:cs="宋体"/>
          <w:b/>
          <w:sz w:val="24"/>
        </w:rPr>
        <w:t>供应商存在下列情况之一的，按无效响应处理：</w:t>
      </w:r>
    </w:p>
    <w:p w14:paraId="6A967D9B">
      <w:pPr>
        <w:spacing w:line="360" w:lineRule="auto"/>
        <w:ind w:firstLine="480" w:firstLineChars="200"/>
        <w:rPr>
          <w:rFonts w:hint="eastAsia" w:ascii="宋体" w:hAnsi="宋体" w:eastAsia="宋体" w:cs="宋体"/>
          <w:sz w:val="24"/>
        </w:rPr>
      </w:pPr>
      <w:r>
        <w:rPr>
          <w:rFonts w:ascii="宋体" w:hAnsi="宋体" w:eastAsia="宋体" w:cs="宋体"/>
          <w:sz w:val="24"/>
        </w:rPr>
        <w:t>(1) 投标函或资格性审查文件未按招标文件规定和要求签字、盖章的；</w:t>
      </w:r>
    </w:p>
    <w:p w14:paraId="2A5D835E">
      <w:pPr>
        <w:spacing w:line="360" w:lineRule="auto"/>
        <w:ind w:firstLine="480" w:firstLineChars="200"/>
        <w:rPr>
          <w:rFonts w:hint="eastAsia" w:ascii="宋体" w:hAnsi="宋体" w:eastAsia="宋体" w:cs="宋体"/>
          <w:sz w:val="24"/>
        </w:rPr>
      </w:pPr>
      <w:r>
        <w:rPr>
          <w:rFonts w:ascii="宋体" w:hAnsi="宋体" w:eastAsia="宋体" w:cs="宋体"/>
          <w:sz w:val="24"/>
        </w:rPr>
        <w:t xml:space="preserve">(2) 不具备本次招标项目规定的资格要求的； </w:t>
      </w:r>
    </w:p>
    <w:p w14:paraId="608581BE">
      <w:pPr>
        <w:spacing w:line="360" w:lineRule="auto"/>
        <w:ind w:firstLine="480" w:firstLineChars="200"/>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CCF32A2">
      <w:pPr>
        <w:spacing w:line="360" w:lineRule="auto"/>
        <w:ind w:firstLine="480" w:firstLineChars="200"/>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33D65E2C">
      <w:pPr>
        <w:spacing w:line="360" w:lineRule="auto"/>
        <w:ind w:firstLine="480" w:firstLineChars="200"/>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1E7986C">
      <w:pPr>
        <w:spacing w:line="360" w:lineRule="auto"/>
        <w:ind w:firstLine="480" w:firstLineChars="200"/>
        <w:rPr>
          <w:rFonts w:hint="eastAsia"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6CCF4A4A">
      <w:pPr>
        <w:spacing w:line="360" w:lineRule="auto"/>
        <w:ind w:firstLine="480" w:firstLineChars="200"/>
        <w:rPr>
          <w:rFonts w:hint="eastAsia"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6761D7AA">
      <w:pPr>
        <w:spacing w:line="360" w:lineRule="auto"/>
        <w:ind w:firstLine="480" w:firstLineChars="200"/>
        <w:rPr>
          <w:rFonts w:hint="eastAsia"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2F9B8C6B">
      <w:pPr>
        <w:spacing w:line="360" w:lineRule="auto"/>
        <w:ind w:left="630"/>
        <w:rPr>
          <w:rFonts w:hint="eastAsia"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D66C1C7">
      <w:pPr>
        <w:pStyle w:val="3"/>
        <w:numPr>
          <w:ilvl w:val="0"/>
          <w:numId w:val="4"/>
        </w:numPr>
        <w:spacing w:before="0" w:after="0" w:line="420" w:lineRule="auto"/>
        <w:rPr>
          <w:rFonts w:hint="eastAsia" w:ascii="宋体" w:hAnsi="宋体"/>
        </w:rPr>
      </w:pPr>
      <w:bookmarkStart w:id="6" w:name="_Toc5570"/>
      <w:bookmarkStart w:id="7" w:name="_Toc15601"/>
      <w:r>
        <w:rPr>
          <w:rFonts w:hint="eastAsia" w:ascii="宋体" w:hAnsi="宋体"/>
        </w:rPr>
        <w:t>采购结果公示及合同的签订</w:t>
      </w:r>
      <w:bookmarkEnd w:id="6"/>
      <w:bookmarkEnd w:id="7"/>
    </w:p>
    <w:p w14:paraId="6A24F87C">
      <w:pPr>
        <w:spacing w:line="360" w:lineRule="auto"/>
        <w:ind w:right="-4" w:rightChars="-2" w:firstLine="475" w:firstLineChars="197"/>
        <w:rPr>
          <w:rFonts w:hint="eastAsia"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中标人确定后，采购人将通过信息化建设管理处网站发布信息化项目校内分散采购结果公示2天，公示期满无异议，即确定最终供应商。</w:t>
      </w:r>
    </w:p>
    <w:p w14:paraId="275D9D5E">
      <w:pPr>
        <w:spacing w:line="360" w:lineRule="auto"/>
        <w:ind w:firstLine="482" w:firstLineChars="200"/>
        <w:rPr>
          <w:rFonts w:hint="eastAsia"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中标人应在结果公示期满之后30日内与采购人签订</w:t>
      </w:r>
      <w:r>
        <w:rPr>
          <w:rFonts w:hint="eastAsia" w:ascii="宋体" w:hAnsi="宋体" w:cs="宋体"/>
          <w:sz w:val="24"/>
        </w:rPr>
        <w:t>合同，</w:t>
      </w:r>
      <w:r>
        <w:rPr>
          <w:rFonts w:hint="eastAsia" w:ascii="宋体" w:hAnsi="宋体" w:cs="宋体"/>
          <w:kern w:val="0"/>
          <w:sz w:val="24"/>
        </w:rPr>
        <w:t>过期视为放弃中标。</w:t>
      </w:r>
    </w:p>
    <w:p w14:paraId="4D6ADD57">
      <w:pPr>
        <w:spacing w:line="360" w:lineRule="auto"/>
        <w:ind w:firstLine="482" w:firstLineChars="200"/>
        <w:rPr>
          <w:rFonts w:hint="eastAsia"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17BA234E">
      <w:pPr>
        <w:spacing w:line="360" w:lineRule="auto"/>
        <w:ind w:firstLine="482" w:firstLineChars="200"/>
        <w:rPr>
          <w:rFonts w:hint="eastAsia"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5AE932DD">
      <w:pPr>
        <w:spacing w:line="360" w:lineRule="auto"/>
        <w:ind w:firstLine="482" w:firstLineChars="200"/>
        <w:rPr>
          <w:rFonts w:hint="eastAsia"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3F5125B9">
      <w:pPr>
        <w:pStyle w:val="3"/>
        <w:numPr>
          <w:ilvl w:val="0"/>
          <w:numId w:val="4"/>
        </w:numPr>
        <w:spacing w:before="0" w:after="0" w:line="420" w:lineRule="auto"/>
        <w:rPr>
          <w:rFonts w:hint="eastAsia" w:ascii="宋体" w:hAnsi="宋体"/>
        </w:rPr>
      </w:pPr>
      <w:bookmarkStart w:id="8" w:name="_Toc7072"/>
      <w:bookmarkStart w:id="9" w:name="_Toc20318"/>
      <w:r>
        <w:rPr>
          <w:rFonts w:hint="eastAsia" w:ascii="宋体" w:hAnsi="宋体"/>
        </w:rPr>
        <w:t>其他</w:t>
      </w:r>
      <w:bookmarkEnd w:id="8"/>
      <w:bookmarkEnd w:id="9"/>
    </w:p>
    <w:p w14:paraId="2720F117">
      <w:pPr>
        <w:spacing w:line="360" w:lineRule="auto"/>
        <w:ind w:firstLine="482" w:firstLineChars="200"/>
        <w:rPr>
          <w:rFonts w:hint="eastAsia"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35CDD2C0">
      <w:pPr>
        <w:spacing w:line="360" w:lineRule="auto"/>
        <w:ind w:firstLine="482" w:firstLineChars="200"/>
        <w:rPr>
          <w:rFonts w:hint="eastAsia"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341AEFF5">
      <w:pPr>
        <w:spacing w:line="360" w:lineRule="auto"/>
        <w:ind w:firstLine="482" w:firstLineChars="200"/>
        <w:rPr>
          <w:rFonts w:hint="eastAsia"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08746C8A">
      <w:pPr>
        <w:spacing w:line="360" w:lineRule="auto"/>
        <w:rPr>
          <w:rFonts w:hint="eastAsia" w:asciiTheme="minorEastAsia" w:hAnsiTheme="minorEastAsia" w:cstheme="minorEastAsia"/>
          <w:sz w:val="24"/>
        </w:rPr>
      </w:pPr>
    </w:p>
    <w:p w14:paraId="75749823">
      <w:r>
        <w:rPr>
          <w:rFonts w:hint="eastAsia"/>
        </w:rPr>
        <w:br w:type="page"/>
      </w:r>
    </w:p>
    <w:p w14:paraId="14FD64CA">
      <w:pPr>
        <w:pStyle w:val="2"/>
        <w:numPr>
          <w:ilvl w:val="0"/>
          <w:numId w:val="6"/>
        </w:numPr>
        <w:spacing w:before="100" w:line="360" w:lineRule="auto"/>
        <w:jc w:val="center"/>
      </w:pPr>
      <w:r>
        <w:rPr>
          <w:rFonts w:hint="eastAsia"/>
        </w:rPr>
        <w:t xml:space="preserve"> 采购需求</w:t>
      </w:r>
    </w:p>
    <w:p w14:paraId="5810466A">
      <w:pPr>
        <w:pStyle w:val="32"/>
        <w:numPr>
          <w:ilvl w:val="255"/>
          <w:numId w:val="0"/>
        </w:numPr>
        <w:spacing w:line="360" w:lineRule="auto"/>
        <w:ind w:firstLine="482" w:firstLineChars="200"/>
        <w:rPr>
          <w:rFonts w:hint="eastAsia" w:asciiTheme="minorEastAsia" w:hAnsiTheme="minorEastAsia" w:cstheme="minorEastAsia"/>
          <w:b/>
          <w:bCs/>
          <w:sz w:val="24"/>
        </w:rPr>
      </w:pPr>
      <w:r>
        <w:rPr>
          <w:rFonts w:hint="eastAsia" w:asciiTheme="minorEastAsia" w:hAnsiTheme="minorEastAsia" w:cstheme="minorEastAsia"/>
          <w:b/>
          <w:bCs/>
          <w:sz w:val="24"/>
        </w:rPr>
        <w:t>一、项目概况：</w:t>
      </w:r>
    </w:p>
    <w:p w14:paraId="036A30B8">
      <w:pPr>
        <w:spacing w:line="360" w:lineRule="auto"/>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为全面落实《江南大学本科课程考核档案管理办法（2025年修订）》（江大校办〔2025〕25号），推进课程考核档案的规范化与电子化管理，建设统一的课程考核档案管理系统具有迫切必要性：</w:t>
      </w:r>
    </w:p>
    <w:p w14:paraId="1BDBBF04">
      <w:pPr>
        <w:spacing w:line="360" w:lineRule="auto"/>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1.政策合规性要求：新办法明确规定所有课程考核材料需实现“规范化、电子化归档”，并对电子档案格式、命名规则、存储安全等提出技术标准。</w:t>
      </w:r>
    </w:p>
    <w:p w14:paraId="583BAA75">
      <w:pPr>
        <w:spacing w:line="360" w:lineRule="auto"/>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2.流程效率提升需求：传统线下操作耗时长、易错漏，系统可实现材料批量上传、自动命名、智能校验完整性，确保时效性与准确性，减轻教师及教务人员负担。</w:t>
      </w:r>
    </w:p>
    <w:p w14:paraId="04073894">
      <w:pPr>
        <w:spacing w:line="360" w:lineRule="auto"/>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3.安全与审计保障：新规强调涉密材料加密传输、访问权限控制及操作日志全留存。系统可内置权限分级、数字签名、操作留痕等功能，杜绝公共网络传输风险，满足保密协议要求，并为教务处核查评分一致性提供数据基础。</w:t>
      </w:r>
    </w:p>
    <w:p w14:paraId="241232BA">
      <w:pPr>
        <w:pStyle w:val="32"/>
        <w:spacing w:line="360" w:lineRule="auto"/>
        <w:ind w:firstLine="0" w:firstLineChars="0"/>
        <w:rPr>
          <w:rFonts w:hint="eastAsia" w:asciiTheme="minorEastAsia" w:hAnsiTheme="minorEastAsia" w:cstheme="minorEastAsia"/>
          <w:sz w:val="24"/>
        </w:rPr>
      </w:pPr>
      <w:r>
        <w:rPr>
          <w:rFonts w:hint="eastAsia" w:asciiTheme="minorEastAsia" w:hAnsiTheme="minorEastAsia" w:cstheme="minorEastAsia"/>
          <w:kern w:val="0"/>
          <w:sz w:val="24"/>
        </w:rPr>
        <w:t>4.资源优化与长期保存：系统可减少物理存储空间占用，降低管理成本，同时确保历史数据可追溯，为教学质量评价提供完整依据。</w:t>
      </w:r>
    </w:p>
    <w:p w14:paraId="6930BC72">
      <w:pPr>
        <w:pStyle w:val="32"/>
        <w:numPr>
          <w:ilvl w:val="255"/>
          <w:numId w:val="0"/>
        </w:numPr>
        <w:spacing w:line="360" w:lineRule="auto"/>
        <w:ind w:firstLine="482" w:firstLineChars="200"/>
        <w:rPr>
          <w:rFonts w:hint="eastAsia" w:asciiTheme="minorEastAsia" w:hAnsiTheme="minorEastAsia" w:cstheme="minorEastAsia"/>
          <w:b/>
          <w:bCs/>
          <w:sz w:val="24"/>
        </w:rPr>
      </w:pPr>
      <w:r>
        <w:rPr>
          <w:rFonts w:hint="eastAsia" w:asciiTheme="minorEastAsia" w:hAnsiTheme="minorEastAsia" w:cstheme="minorEastAsia"/>
          <w:b/>
          <w:bCs/>
          <w:sz w:val="24"/>
        </w:rPr>
        <w:t>二、实现功能和目标：</w:t>
      </w:r>
    </w:p>
    <w:p w14:paraId="0DBA4812">
      <w:pPr>
        <w:pStyle w:val="32"/>
        <w:spacing w:line="360" w:lineRule="auto"/>
        <w:ind w:firstLine="480"/>
        <w:rPr>
          <w:rFonts w:hint="eastAsia" w:asciiTheme="minorEastAsia" w:hAnsiTheme="minorEastAsia" w:cstheme="minorEastAsia"/>
          <w:sz w:val="24"/>
        </w:rPr>
      </w:pPr>
      <w:r>
        <w:rPr>
          <w:rFonts w:hint="eastAsia" w:asciiTheme="minorEastAsia" w:hAnsiTheme="minorEastAsia" w:cstheme="minorEastAsia"/>
          <w:sz w:val="24"/>
        </w:rPr>
        <w:t>本科生课程考核档案等审核评估材料全生命周期管理：构建完整的数字化流程体系，全面支持审核评估过程中各类材料的在线上传、多级审核、永久存档及便捷查看。从材料的初始提交到最终归档，实现全流程闭环管理，确保材料的完整性、规范性和可追溯性。</w:t>
      </w:r>
    </w:p>
    <w:p w14:paraId="3E6B882C">
      <w:pPr>
        <w:pStyle w:val="32"/>
        <w:spacing w:line="360" w:lineRule="auto"/>
        <w:ind w:firstLine="480"/>
        <w:rPr>
          <w:rFonts w:hint="eastAsia" w:asciiTheme="minorEastAsia" w:hAnsiTheme="minorEastAsia" w:cstheme="minorEastAsia"/>
          <w:sz w:val="24"/>
        </w:rPr>
      </w:pPr>
      <w:r>
        <w:rPr>
          <w:rFonts w:hint="eastAsia" w:asciiTheme="minorEastAsia" w:hAnsiTheme="minorEastAsia" w:cstheme="minorEastAsia"/>
          <w:sz w:val="24"/>
        </w:rPr>
        <w:t>日常教学材料管理服务：针对日常教学活动产生的教案、课件、作业等各类材料，提供一体化的管理服务，涵盖上传、审核、存档和查看四大核心功能。支持多种文件格式，适配不同教学场景需求，助力教学资料的有序管理和高效利用。</w:t>
      </w:r>
    </w:p>
    <w:p w14:paraId="3E53CB36">
      <w:pPr>
        <w:pStyle w:val="32"/>
        <w:spacing w:line="360" w:lineRule="auto"/>
        <w:ind w:firstLine="480"/>
        <w:rPr>
          <w:rFonts w:hint="eastAsia" w:asciiTheme="minorEastAsia" w:hAnsiTheme="minorEastAsia" w:cstheme="minorEastAsia"/>
          <w:sz w:val="24"/>
        </w:rPr>
      </w:pPr>
      <w:r>
        <w:rPr>
          <w:rFonts w:hint="eastAsia" w:asciiTheme="minorEastAsia" w:hAnsiTheme="minorEastAsia" w:cstheme="minorEastAsia"/>
          <w:sz w:val="24"/>
        </w:rPr>
        <w:t>多系统深度集成协同：与考试系统、达成度系统、题库系统进行深度技术对接，实现数据的无缝交互与共享。在存档中心模块中，可直接引用上述系统生成的报告、审核表、成绩单等文件，无需重复上传。同时，引入自动化审核流程，根据预设规则对引用文件进行快速处理，提升工作效率。</w:t>
      </w:r>
    </w:p>
    <w:p w14:paraId="2FA7BE8B">
      <w:pPr>
        <w:pStyle w:val="32"/>
        <w:spacing w:line="360" w:lineRule="auto"/>
        <w:ind w:firstLine="480"/>
        <w:rPr>
          <w:rFonts w:hint="eastAsia" w:asciiTheme="minorEastAsia" w:hAnsiTheme="minorEastAsia" w:cstheme="minorEastAsia"/>
          <w:sz w:val="24"/>
        </w:rPr>
      </w:pPr>
      <w:r>
        <w:rPr>
          <w:rFonts w:hint="eastAsia" w:asciiTheme="minorEastAsia" w:hAnsiTheme="minorEastAsia" w:cstheme="minorEastAsia"/>
          <w:sz w:val="24"/>
        </w:rPr>
        <w:t>过程数据精准留存：建立完善的日志记录机制，对材料的上传、审核、存档、查看等操作进行全程记录，并与具体材料进行精准关联。每一条日志都包含详细的操作时间、操作人员、操作内容等信息，形成完整的操作轨迹，为后续的审计和追溯提供有力支撑。</w:t>
      </w:r>
    </w:p>
    <w:p w14:paraId="5145B1DD">
      <w:pPr>
        <w:pStyle w:val="32"/>
        <w:spacing w:line="360" w:lineRule="auto"/>
        <w:ind w:firstLine="480"/>
        <w:rPr>
          <w:rFonts w:hint="eastAsia" w:asciiTheme="minorEastAsia" w:hAnsiTheme="minorEastAsia" w:cstheme="minorEastAsia"/>
          <w:sz w:val="24"/>
        </w:rPr>
      </w:pPr>
      <w:r>
        <w:rPr>
          <w:rFonts w:hint="eastAsia" w:asciiTheme="minorEastAsia" w:hAnsiTheme="minorEastAsia" w:cstheme="minorEastAsia"/>
          <w:sz w:val="24"/>
        </w:rPr>
        <w:t>评估专家权限体系构建：新增评估专家角色，并配套完善的权限管理机制。从功能权限和数据权限两个维度进行精细设置，确保评估专家能够在授权范围内进行材料查看、审核等操作，同时保障数据的安全性和隐私性。</w:t>
      </w:r>
    </w:p>
    <w:p w14:paraId="79C53D2E">
      <w:pPr>
        <w:spacing w:line="360" w:lineRule="auto"/>
      </w:pPr>
      <w:r>
        <w:rPr>
          <w:rFonts w:hint="eastAsia" w:asciiTheme="minorEastAsia" w:hAnsiTheme="minorEastAsia" w:cstheme="minorEastAsia"/>
          <w:sz w:val="24"/>
        </w:rPr>
        <w:t>多维度进度统计与分析：采用先进的数据处理技术，从时间、部门、任务类型等多个维度对工作进度进行实时统计。以直观清晰的报表形式呈现统计结果，方便管理者全面掌握工作进展情况。同时，支持将统计数据以表格形式导出下载，便于进行进一步的数据统计分析和深度挖掘。</w:t>
      </w:r>
      <w:r>
        <w:rPr>
          <w:rFonts w:hint="eastAsia" w:asciiTheme="minorEastAsia" w:hAnsiTheme="minorEastAsia" w:cstheme="minorEastAsia"/>
          <w:sz w:val="24"/>
          <w:u w:val="single"/>
        </w:rPr>
        <w:t xml:space="preserve"> </w:t>
      </w:r>
      <w:r>
        <w:rPr>
          <w:rFonts w:hint="eastAsia" w:ascii="宋体" w:hAnsi="宋体" w:eastAsia="宋体" w:cs="宋体"/>
          <w:sz w:val="28"/>
          <w:szCs w:val="28"/>
          <w:u w:val="single"/>
        </w:rPr>
        <w:t xml:space="preserve">    </w:t>
      </w:r>
    </w:p>
    <w:p w14:paraId="1EC8FC02">
      <w:pPr>
        <w:pStyle w:val="2"/>
        <w:numPr>
          <w:ilvl w:val="0"/>
          <w:numId w:val="7"/>
        </w:numPr>
        <w:spacing w:before="0" w:after="0" w:line="360" w:lineRule="auto"/>
        <w:ind w:firstLine="482" w:firstLineChars="200"/>
        <w:rPr>
          <w:rFonts w:hint="eastAsia" w:asciiTheme="minorEastAsia" w:hAnsiTheme="minorEastAsia" w:cstheme="minorEastAsia"/>
          <w:kern w:val="2"/>
          <w:sz w:val="24"/>
          <w:szCs w:val="24"/>
        </w:rPr>
      </w:pPr>
      <w:r>
        <w:rPr>
          <w:rFonts w:hint="eastAsia" w:asciiTheme="minorEastAsia" w:hAnsiTheme="minorEastAsia" w:cstheme="minorEastAsia"/>
          <w:kern w:val="2"/>
          <w:sz w:val="24"/>
          <w:szCs w:val="24"/>
        </w:rPr>
        <w:t xml:space="preserve">技术要求和说明 </w:t>
      </w:r>
    </w:p>
    <w:p w14:paraId="1F789A97">
      <w:pPr>
        <w:pStyle w:val="2"/>
        <w:spacing w:before="0" w:after="0" w:line="360" w:lineRule="auto"/>
        <w:rPr>
          <w:rFonts w:hint="eastAsia" w:asciiTheme="minorEastAsia" w:hAnsiTheme="minorEastAsia" w:cstheme="minorEastAsia"/>
          <w:b w:val="0"/>
          <w:bCs w:val="0"/>
          <w:kern w:val="2"/>
          <w:sz w:val="24"/>
          <w:szCs w:val="24"/>
        </w:rPr>
      </w:pPr>
      <w:r>
        <w:rPr>
          <w:rFonts w:hint="eastAsia"/>
        </w:rPr>
        <w:t xml:space="preserve"> </w:t>
      </w:r>
      <w:r>
        <w:rPr>
          <w:rFonts w:hint="eastAsia" w:asciiTheme="minorEastAsia" w:hAnsiTheme="minorEastAsia" w:cstheme="minorEastAsia"/>
          <w:kern w:val="2"/>
          <w:sz w:val="24"/>
          <w:szCs w:val="24"/>
        </w:rPr>
        <w:t>以下信息系统模块需要进行现场演示：</w:t>
      </w:r>
      <w:r>
        <w:rPr>
          <w:rFonts w:hint="eastAsia" w:asciiTheme="minorEastAsia" w:hAnsiTheme="minorEastAsia" w:cstheme="minorEastAsia"/>
          <w:b w:val="0"/>
          <w:bCs w:val="0"/>
          <w:kern w:val="2"/>
          <w:sz w:val="24"/>
          <w:szCs w:val="24"/>
        </w:rPr>
        <w:t>基础信息管理模块、存档进度统计模块、材料项管理模块、自定义角色模块、采集计划管理模块、提交材料模块、材料审核模块、存档中心模块</w:t>
      </w:r>
    </w:p>
    <w:tbl>
      <w:tblPr>
        <w:tblStyle w:val="19"/>
        <w:tblpPr w:leftFromText="180" w:rightFromText="180" w:vertAnchor="text" w:horzAnchor="page" w:tblpX="1383" w:tblpY="552"/>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44"/>
        <w:gridCol w:w="7515"/>
      </w:tblGrid>
      <w:tr w14:paraId="192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4" w:type="dxa"/>
            <w:vAlign w:val="center"/>
          </w:tcPr>
          <w:p w14:paraId="70CF5FBB">
            <w:pPr>
              <w:spacing w:line="360" w:lineRule="auto"/>
              <w:jc w:val="center"/>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8259" w:type="dxa"/>
            <w:gridSpan w:val="2"/>
            <w:vAlign w:val="center"/>
          </w:tcPr>
          <w:p w14:paraId="5E9870B5">
            <w:pPr>
              <w:spacing w:line="360" w:lineRule="auto"/>
              <w:jc w:val="center"/>
              <w:rPr>
                <w:rFonts w:hint="eastAsia" w:ascii="微软雅黑" w:hAnsi="微软雅黑" w:eastAsia="微软雅黑" w:cs="微软雅黑"/>
                <w:b/>
                <w:sz w:val="24"/>
              </w:rPr>
            </w:pPr>
            <w:r>
              <w:rPr>
                <w:rFonts w:hint="eastAsia" w:ascii="微软雅黑" w:hAnsi="微软雅黑" w:eastAsia="微软雅黑" w:cs="微软雅黑"/>
                <w:b/>
                <w:sz w:val="24"/>
              </w:rPr>
              <w:t>技术要求和说明</w:t>
            </w:r>
          </w:p>
        </w:tc>
      </w:tr>
      <w:tr w14:paraId="5D94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4" w:type="dxa"/>
            <w:vMerge w:val="restart"/>
            <w:shd w:val="clear" w:color="000000" w:fill="FFFFFF"/>
            <w:vAlign w:val="center"/>
          </w:tcPr>
          <w:p w14:paraId="4B4C17DE">
            <w:pPr>
              <w:jc w:val="center"/>
              <w:rPr>
                <w:rFonts w:hint="eastAsia" w:ascii="宋体" w:hAnsi="宋体" w:cs="宋体"/>
                <w:szCs w:val="21"/>
              </w:rPr>
            </w:pPr>
            <w:r>
              <w:rPr>
                <w:rFonts w:hint="eastAsia" w:ascii="宋体" w:hAnsi="宋体" w:cs="宋体"/>
                <w:szCs w:val="21"/>
              </w:rPr>
              <w:t>1</w:t>
            </w:r>
          </w:p>
        </w:tc>
        <w:tc>
          <w:tcPr>
            <w:tcW w:w="744" w:type="dxa"/>
            <w:shd w:val="clear" w:color="000000" w:fill="FFFFFF"/>
            <w:vAlign w:val="center"/>
          </w:tcPr>
          <w:p w14:paraId="413C8913">
            <w:pPr>
              <w:pStyle w:val="6"/>
              <w:jc w:val="center"/>
              <w:rPr>
                <w:rFonts w:hint="eastAsia" w:ascii="宋体" w:hAnsi="宋体" w:cs="宋体"/>
                <w:szCs w:val="21"/>
              </w:rPr>
            </w:pPr>
            <w:r>
              <w:rPr>
                <w:rFonts w:hint="eastAsia" w:ascii="宋体" w:hAnsi="宋体" w:cs="宋体"/>
                <w:szCs w:val="21"/>
              </w:rPr>
              <w:t>系统基本要求</w:t>
            </w:r>
          </w:p>
        </w:tc>
        <w:tc>
          <w:tcPr>
            <w:tcW w:w="7515" w:type="dxa"/>
            <w:shd w:val="clear" w:color="000000" w:fill="FFFFFF"/>
          </w:tcPr>
          <w:p w14:paraId="4A63672F">
            <w:pPr>
              <w:rPr>
                <w:rFonts w:hint="eastAsia" w:ascii="宋体" w:hAnsi="宋体" w:eastAsia="宋体" w:cs="宋体"/>
                <w:kern w:val="0"/>
                <w:szCs w:val="21"/>
              </w:rPr>
            </w:pPr>
            <w:r>
              <w:rPr>
                <w:rFonts w:hint="eastAsia" w:ascii="宋体" w:hAnsi="宋体" w:eastAsia="宋体" w:cs="宋体"/>
                <w:kern w:val="0"/>
                <w:szCs w:val="21"/>
              </w:rPr>
              <w:t>1.软件系统架构为B/S模式，系统采用统一的WEB管理平台，管理员、教师等通过浏览器即可管理阅卷系统，无需安装任何插件，且系统须兼容如IE11及以上、Edge、360、火狐、google 浏览器等。</w:t>
            </w:r>
          </w:p>
          <w:p w14:paraId="627A4246">
            <w:pPr>
              <w:rPr>
                <w:rFonts w:hint="eastAsia" w:ascii="宋体" w:hAnsi="宋体" w:eastAsia="宋体" w:cs="宋体"/>
                <w:kern w:val="0"/>
                <w:szCs w:val="21"/>
              </w:rPr>
            </w:pPr>
            <w:r>
              <w:rPr>
                <w:rFonts w:hint="eastAsia" w:ascii="宋体" w:hAnsi="宋体" w:eastAsia="宋体" w:cs="宋体"/>
                <w:kern w:val="0"/>
                <w:szCs w:val="21"/>
              </w:rPr>
              <w:t>2.系统采用高可用、可伸缩的架构，同时在线并发人数不少于1500人。</w:t>
            </w:r>
          </w:p>
          <w:p w14:paraId="074D6D39">
            <w:pPr>
              <w:rPr>
                <w:rFonts w:hint="eastAsia" w:ascii="宋体" w:hAnsi="宋体" w:eastAsia="宋体" w:cs="宋体"/>
                <w:kern w:val="0"/>
                <w:szCs w:val="21"/>
              </w:rPr>
            </w:pPr>
            <w:r>
              <w:rPr>
                <w:rFonts w:hint="eastAsia" w:ascii="宋体" w:hAnsi="宋体" w:eastAsia="宋体" w:cs="宋体"/>
                <w:kern w:val="0"/>
                <w:szCs w:val="21"/>
              </w:rPr>
              <w:t>3.系统应在统一门户的同一平台下满足全校性使用需求，提供统一平台登录入口。</w:t>
            </w:r>
          </w:p>
          <w:p w14:paraId="4063C580">
            <w:pPr>
              <w:rPr>
                <w:rFonts w:hint="eastAsia" w:ascii="宋体" w:hAnsi="宋体" w:eastAsia="宋体" w:cs="宋体"/>
                <w:kern w:val="0"/>
                <w:szCs w:val="21"/>
              </w:rPr>
            </w:pPr>
            <w:r>
              <w:rPr>
                <w:rFonts w:hint="eastAsia" w:ascii="宋体" w:hAnsi="宋体" w:eastAsia="宋体" w:cs="宋体"/>
                <w:kern w:val="0"/>
                <w:szCs w:val="21"/>
              </w:rPr>
              <w:t>4.系统应支持多终端操作，应具备WEB端应用操作功能。</w:t>
            </w:r>
          </w:p>
          <w:p w14:paraId="4E9C9644">
            <w:pPr>
              <w:rPr>
                <w:rFonts w:hint="eastAsia" w:ascii="宋体" w:hAnsi="宋体" w:eastAsia="宋体" w:cs="宋体"/>
                <w:kern w:val="0"/>
                <w:szCs w:val="21"/>
              </w:rPr>
            </w:pPr>
            <w:r>
              <w:rPr>
                <w:rFonts w:hint="eastAsia" w:ascii="宋体" w:hAnsi="宋体" w:eastAsia="宋体" w:cs="宋体"/>
                <w:kern w:val="0"/>
                <w:szCs w:val="21"/>
              </w:rPr>
              <w:t>5.系统应支持使用Dubbo、HTTPS、WebService、Thrift、Memcached、Redis等方式来获取数据中心的标准数据，同时提供Restful方式的数据访问，支持xml、Json等数据格式。</w:t>
            </w:r>
          </w:p>
          <w:p w14:paraId="683D9594">
            <w:pPr>
              <w:rPr>
                <w:rFonts w:hint="eastAsia" w:ascii="宋体" w:hAnsi="宋体" w:eastAsia="宋体" w:cs="宋体"/>
                <w:kern w:val="0"/>
                <w:szCs w:val="21"/>
              </w:rPr>
            </w:pPr>
            <w:r>
              <w:rPr>
                <w:rFonts w:hint="eastAsia" w:ascii="宋体" w:hAnsi="宋体" w:eastAsia="宋体" w:cs="宋体"/>
                <w:kern w:val="0"/>
                <w:szCs w:val="21"/>
              </w:rPr>
              <w:t>7.系统应采用J2EE平台，可以跨平台部署等。</w:t>
            </w:r>
          </w:p>
          <w:p w14:paraId="1DA037AB">
            <w:pPr>
              <w:rPr>
                <w:rFonts w:hint="eastAsia" w:ascii="宋体" w:hAnsi="宋体" w:eastAsia="宋体" w:cs="宋体"/>
                <w:kern w:val="0"/>
                <w:szCs w:val="21"/>
                <w:highlight w:val="none"/>
              </w:rPr>
            </w:pPr>
            <w:r>
              <w:rPr>
                <w:rFonts w:hint="eastAsia" w:ascii="宋体" w:hAnsi="宋体" w:eastAsia="宋体" w:cs="宋体"/>
                <w:kern w:val="0"/>
                <w:szCs w:val="21"/>
              </w:rPr>
              <w:t>8</w:t>
            </w:r>
            <w:r>
              <w:rPr>
                <w:rFonts w:hint="eastAsia" w:ascii="宋体" w:hAnsi="宋体" w:eastAsia="宋体" w:cs="宋体"/>
                <w:kern w:val="0"/>
                <w:szCs w:val="21"/>
                <w:highlight w:val="none"/>
              </w:rPr>
              <w:t>.系统应支持与学校统一门户进行待办事项对接。</w:t>
            </w:r>
          </w:p>
          <w:p w14:paraId="268459FD">
            <w:pPr>
              <w:rPr>
                <w:rFonts w:hint="eastAsia" w:ascii="宋体" w:hAnsi="宋体" w:eastAsia="宋体" w:cs="宋体"/>
                <w:kern w:val="0"/>
                <w:szCs w:val="21"/>
                <w:highlight w:val="none"/>
              </w:rPr>
            </w:pPr>
            <w:r>
              <w:rPr>
                <w:rFonts w:hint="eastAsia" w:ascii="宋体" w:hAnsi="宋体" w:eastAsia="宋体" w:cs="宋体"/>
                <w:kern w:val="0"/>
                <w:szCs w:val="21"/>
                <w:highlight w:val="none"/>
              </w:rPr>
              <w:t>9.</w:t>
            </w:r>
            <w:r>
              <w:rPr>
                <w:rFonts w:hint="eastAsia" w:ascii="宋体" w:hAnsi="宋体" w:cs="宋体"/>
                <w:szCs w:val="21"/>
                <w:highlight w:val="none"/>
              </w:rPr>
              <w:t>▲</w:t>
            </w:r>
            <w:r>
              <w:rPr>
                <w:rFonts w:hint="eastAsia" w:ascii="宋体" w:hAnsi="宋体" w:eastAsia="宋体" w:cs="宋体"/>
                <w:kern w:val="0"/>
                <w:szCs w:val="21"/>
                <w:highlight w:val="none"/>
              </w:rPr>
              <w:t>系统应支持提供标准接口，与实习实践平台、专业认证平台等三方系统的材料进行对接和同步，系统能够支持快速接入到 e 江南校园门户（PC 端、移动端APP）、微信公众号等展示端。系统应支持对接学校统一身份认证、消息中心、e江南待办中心、电子签章、档案系统等校内公共平台。</w:t>
            </w:r>
          </w:p>
          <w:p w14:paraId="3E7D0199">
            <w:pPr>
              <w:rPr>
                <w:rFonts w:hint="eastAsia" w:ascii="宋体" w:hAnsi="宋体" w:eastAsia="宋体" w:cs="宋体"/>
                <w:kern w:val="0"/>
                <w:szCs w:val="21"/>
                <w:highlight w:val="none"/>
              </w:rPr>
            </w:pPr>
            <w:r>
              <w:rPr>
                <w:rFonts w:hint="eastAsia" w:ascii="宋体" w:hAnsi="宋体" w:eastAsia="宋体" w:cs="宋体"/>
                <w:kern w:val="0"/>
                <w:szCs w:val="21"/>
                <w:highlight w:val="none"/>
              </w:rPr>
              <w:t>10.</w:t>
            </w:r>
            <w:r>
              <w:rPr>
                <w:rFonts w:hint="eastAsia" w:ascii="宋体" w:hAnsi="宋体" w:cs="宋体"/>
                <w:szCs w:val="21"/>
                <w:highlight w:val="none"/>
              </w:rPr>
              <w:t>▲</w:t>
            </w:r>
            <w:r>
              <w:rPr>
                <w:rFonts w:hint="eastAsia" w:ascii="宋体" w:hAnsi="宋体" w:eastAsia="宋体" w:cs="宋体"/>
                <w:kern w:val="0"/>
                <w:szCs w:val="21"/>
                <w:highlight w:val="none"/>
              </w:rPr>
              <w:t>要求系统本地化部署，保证业务稳定性。</w:t>
            </w:r>
          </w:p>
          <w:p w14:paraId="5CB31762">
            <w:pPr>
              <w:rPr>
                <w:rFonts w:hint="eastAsia" w:ascii="宋体" w:hAnsi="宋体" w:eastAsia="宋体" w:cs="宋体"/>
                <w:kern w:val="0"/>
                <w:szCs w:val="21"/>
                <w:highlight w:val="yellow"/>
              </w:rPr>
            </w:pPr>
            <w:r>
              <w:rPr>
                <w:rFonts w:hint="eastAsia" w:ascii="宋体" w:hAnsi="宋体" w:eastAsia="宋体" w:cs="宋体"/>
                <w:kern w:val="0"/>
                <w:szCs w:val="21"/>
                <w:highlight w:val="none"/>
              </w:rPr>
              <w:t>11.</w:t>
            </w:r>
            <w:r>
              <w:rPr>
                <w:rFonts w:hint="eastAsia" w:ascii="宋体" w:hAnsi="宋体" w:cs="宋体"/>
                <w:szCs w:val="21"/>
                <w:highlight w:val="none"/>
              </w:rPr>
              <w:t>▲</w:t>
            </w:r>
            <w:r>
              <w:rPr>
                <w:rFonts w:hint="eastAsia" w:ascii="宋体" w:hAnsi="宋体" w:eastAsia="宋体" w:cs="宋体"/>
                <w:kern w:val="0"/>
                <w:szCs w:val="21"/>
                <w:highlight w:val="none"/>
              </w:rPr>
              <w:t>要求与现有考试系统实现统一对接，实现数据的无缝交互与共享，保证兼容稳定，支持教师在上传材料时，直接选取考试系统产生的材料，比如成绩单，支持在获取材料时，判断考试状态，若考试未完成，需进行文字提醒，若考试系统文件较大，需支持后台材料拉取，无需教师一直等待。获取到材料后，支持使用拉取到的材料进行审核并存档。</w:t>
            </w:r>
          </w:p>
        </w:tc>
      </w:tr>
      <w:tr w14:paraId="1323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84" w:type="dxa"/>
            <w:vMerge w:val="continue"/>
            <w:shd w:val="clear" w:color="000000" w:fill="FFFFFF"/>
            <w:vAlign w:val="center"/>
          </w:tcPr>
          <w:p w14:paraId="3517E8B2">
            <w:pPr>
              <w:pStyle w:val="6"/>
              <w:rPr>
                <w:rFonts w:hint="eastAsia" w:ascii="宋体" w:hAnsi="宋体" w:cs="宋体"/>
                <w:szCs w:val="21"/>
              </w:rPr>
            </w:pPr>
          </w:p>
        </w:tc>
        <w:tc>
          <w:tcPr>
            <w:tcW w:w="744" w:type="dxa"/>
            <w:shd w:val="clear" w:color="000000" w:fill="FFFFFF"/>
            <w:vAlign w:val="center"/>
          </w:tcPr>
          <w:p w14:paraId="7146CE6D">
            <w:pPr>
              <w:pStyle w:val="6"/>
              <w:jc w:val="center"/>
              <w:rPr>
                <w:rFonts w:hint="eastAsia" w:ascii="宋体" w:hAnsi="宋体" w:cs="宋体"/>
                <w:szCs w:val="21"/>
              </w:rPr>
            </w:pPr>
            <w:r>
              <w:rPr>
                <w:rFonts w:hint="eastAsia" w:ascii="宋体" w:hAnsi="宋体" w:cs="宋体"/>
                <w:szCs w:val="21"/>
              </w:rPr>
              <w:t>数据要求</w:t>
            </w:r>
          </w:p>
        </w:tc>
        <w:tc>
          <w:tcPr>
            <w:tcW w:w="7515" w:type="dxa"/>
            <w:shd w:val="clear" w:color="000000" w:fill="FFFFFF"/>
          </w:tcPr>
          <w:p w14:paraId="446A1CAA">
            <w:pPr>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cs="宋体"/>
                <w:szCs w:val="21"/>
              </w:rPr>
              <w:t>▲</w:t>
            </w:r>
            <w:r>
              <w:rPr>
                <w:rFonts w:hint="eastAsia" w:ascii="宋体" w:hAnsi="宋体" w:eastAsia="宋体" w:cs="宋体"/>
                <w:kern w:val="0"/>
                <w:szCs w:val="21"/>
              </w:rPr>
              <w:t>系统涉及到的字典表数据公共部分应以《江南大学校务数据标准》为准，未在该标准中界定的字典，应符合相应国标和行标，个性化部分应符合学校业务发展需要，并协助学校将其制定为校标。</w:t>
            </w:r>
          </w:p>
          <w:p w14:paraId="35DA8358">
            <w:pPr>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szCs w:val="21"/>
              </w:rPr>
              <w:t>▲</w:t>
            </w:r>
            <w:r>
              <w:rPr>
                <w:rFonts w:hint="eastAsia" w:ascii="宋体" w:hAnsi="宋体" w:eastAsia="宋体" w:cs="宋体"/>
                <w:kern w:val="0"/>
                <w:szCs w:val="21"/>
              </w:rPr>
              <w:t>系统按照《江南大学校务数据标准》规定的权责范围产生数据，非平台业务范围内的数据从学校数据平台同步，不得自行产生，如教职工基本信息、组织机构信息等。</w:t>
            </w:r>
          </w:p>
          <w:p w14:paraId="1AED9BCA">
            <w:pPr>
              <w:rPr>
                <w:rFonts w:hint="eastAsia" w:ascii="宋体" w:hAnsi="宋体" w:eastAsia="宋体" w:cs="宋体"/>
                <w:kern w:val="0"/>
                <w:szCs w:val="21"/>
              </w:rPr>
            </w:pPr>
            <w:r>
              <w:rPr>
                <w:rFonts w:hint="eastAsia" w:ascii="宋体" w:hAnsi="宋体" w:eastAsia="宋体" w:cs="宋体"/>
                <w:kern w:val="0"/>
                <w:szCs w:val="21"/>
              </w:rPr>
              <w:t>3.★提供完备的此系统条线的主题数据目录，对接至学校数据共享中心，符合学校数据共享的标准要求，同时提供数据说明文档（至少应包括数据表格说明，数据字段说明，数据字典说明，数据关联性说明等文档）。</w:t>
            </w:r>
          </w:p>
          <w:p w14:paraId="287E5F8A">
            <w:pPr>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cs="宋体"/>
                <w:szCs w:val="21"/>
              </w:rPr>
              <w:t>▲</w:t>
            </w:r>
            <w:r>
              <w:rPr>
                <w:rFonts w:hint="eastAsia" w:ascii="宋体" w:hAnsi="宋体" w:eastAsia="宋体" w:cs="宋体"/>
                <w:kern w:val="0"/>
                <w:szCs w:val="21"/>
              </w:rPr>
              <w:t>根据用户需求开放基于XML、JSON等主流数据接口，支持与学校数据平台及校外第三方平台应用对接。系统运行期间学校新增数据共享要求，厂商需免费配合修改数据接口，实现数据推送，并配合校方调试通过。</w:t>
            </w:r>
          </w:p>
        </w:tc>
      </w:tr>
      <w:tr w14:paraId="28A9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84" w:type="dxa"/>
            <w:vMerge w:val="continue"/>
            <w:shd w:val="clear" w:color="000000" w:fill="FFFFFF"/>
            <w:vAlign w:val="center"/>
          </w:tcPr>
          <w:p w14:paraId="64171A0E">
            <w:pPr>
              <w:pStyle w:val="6"/>
              <w:rPr>
                <w:rFonts w:hint="eastAsia" w:ascii="宋体" w:hAnsi="宋体" w:cs="宋体"/>
                <w:szCs w:val="21"/>
              </w:rPr>
            </w:pPr>
          </w:p>
        </w:tc>
        <w:tc>
          <w:tcPr>
            <w:tcW w:w="744" w:type="dxa"/>
            <w:shd w:val="clear" w:color="000000" w:fill="FFFFFF"/>
            <w:vAlign w:val="center"/>
          </w:tcPr>
          <w:p w14:paraId="654F82F8">
            <w:pPr>
              <w:pStyle w:val="6"/>
              <w:jc w:val="center"/>
              <w:rPr>
                <w:rFonts w:hint="eastAsia" w:ascii="宋体" w:hAnsi="宋体" w:cs="宋体"/>
                <w:szCs w:val="21"/>
              </w:rPr>
            </w:pPr>
            <w:r>
              <w:rPr>
                <w:rFonts w:hint="eastAsia" w:ascii="宋体" w:hAnsi="宋体" w:cs="宋体"/>
                <w:szCs w:val="21"/>
              </w:rPr>
              <w:t>基础信息管理模块</w:t>
            </w:r>
          </w:p>
        </w:tc>
        <w:tc>
          <w:tcPr>
            <w:tcW w:w="7515" w:type="dxa"/>
            <w:shd w:val="clear" w:color="000000" w:fill="FFFFFF"/>
          </w:tcPr>
          <w:p w14:paraId="366055E9">
            <w:pPr>
              <w:rPr>
                <w:rFonts w:hint="eastAsia" w:ascii="宋体" w:hAnsi="宋体" w:eastAsia="宋体" w:cs="宋体"/>
                <w:kern w:val="0"/>
                <w:szCs w:val="21"/>
              </w:rPr>
            </w:pPr>
            <w:r>
              <w:rPr>
                <w:rFonts w:hint="eastAsia" w:ascii="宋体" w:hAnsi="宋体" w:eastAsia="宋体" w:cs="宋体"/>
                <w:kern w:val="0"/>
                <w:szCs w:val="21"/>
              </w:rPr>
              <w:t>1.支持与现有考试系统共享用户、课程、年级、学期等体系架构，支持作为考试系统的一个模块，不需要单独登录。</w:t>
            </w:r>
          </w:p>
          <w:p w14:paraId="28CCA21D">
            <w:pPr>
              <w:rPr>
                <w:rFonts w:hint="eastAsia" w:ascii="宋体" w:hAnsi="宋体" w:eastAsia="宋体" w:cs="宋体"/>
                <w:kern w:val="0"/>
                <w:szCs w:val="21"/>
              </w:rPr>
            </w:pPr>
            <w:r>
              <w:rPr>
                <w:rFonts w:hint="eastAsia" w:ascii="宋体" w:hAnsi="宋体" w:eastAsia="宋体" w:cs="宋体"/>
                <w:kern w:val="0"/>
                <w:szCs w:val="21"/>
              </w:rPr>
              <w:t>2.★系统应支持对校内用户账号开通数量不受限制的需求，并且应支持不同权限身份有不同用户层级功能，应至少包含教师、单位管理员/教务员、学校管理员三种基础身份，提供软件界面功能截图；</w:t>
            </w:r>
          </w:p>
          <w:p w14:paraId="4D73FD8A">
            <w:pPr>
              <w:rPr>
                <w:rFonts w:hint="eastAsia" w:ascii="宋体" w:hAnsi="宋体" w:eastAsia="宋体" w:cs="宋体"/>
                <w:kern w:val="0"/>
                <w:szCs w:val="21"/>
              </w:rPr>
            </w:pPr>
            <w:r>
              <w:rPr>
                <w:rFonts w:hint="eastAsia" w:ascii="宋体" w:hAnsi="宋体" w:eastAsia="宋体" w:cs="宋体"/>
                <w:kern w:val="0"/>
                <w:szCs w:val="21"/>
              </w:rPr>
              <w:t>3.教师（包含普通教师、课程组长）、学院管理员\教务员、学校管理员三种基础身份信息权限功能如下：</w:t>
            </w:r>
          </w:p>
          <w:p w14:paraId="75D26A27">
            <w:pPr>
              <w:rPr>
                <w:rFonts w:hint="eastAsia" w:ascii="宋体" w:hAnsi="宋体" w:eastAsia="宋体" w:cs="宋体"/>
                <w:kern w:val="0"/>
                <w:szCs w:val="21"/>
              </w:rPr>
            </w:pPr>
            <w:r>
              <w:rPr>
                <w:rFonts w:hint="eastAsia" w:ascii="宋体" w:hAnsi="宋体" w:eastAsia="宋体" w:cs="宋体"/>
                <w:kern w:val="0"/>
                <w:szCs w:val="21"/>
              </w:rPr>
              <w:t>3.1 普通教师权限功能应包括：提交存档材料、查看审核流程、查看本人已存档材料功能等；</w:t>
            </w:r>
          </w:p>
          <w:p w14:paraId="243F3DE6">
            <w:pPr>
              <w:rPr>
                <w:rFonts w:hint="eastAsia" w:ascii="宋体" w:hAnsi="宋体" w:eastAsia="宋体" w:cs="宋体"/>
                <w:kern w:val="0"/>
                <w:szCs w:val="21"/>
              </w:rPr>
            </w:pPr>
            <w:r>
              <w:rPr>
                <w:rFonts w:hint="eastAsia" w:ascii="宋体" w:hAnsi="宋体" w:eastAsia="宋体" w:cs="宋体"/>
                <w:kern w:val="0"/>
                <w:szCs w:val="21"/>
              </w:rPr>
              <w:t>3.2 学院管理员\教务员权限功能应包括：包含普通教师所有权限，设置所管理学院的材料项，查看负责的院系材料统计；</w:t>
            </w:r>
          </w:p>
          <w:p w14:paraId="29367167">
            <w:pPr>
              <w:rPr>
                <w:rFonts w:hint="eastAsia" w:ascii="宋体" w:hAnsi="宋体" w:eastAsia="宋体" w:cs="宋体"/>
                <w:kern w:val="0"/>
                <w:szCs w:val="21"/>
              </w:rPr>
            </w:pPr>
            <w:r>
              <w:rPr>
                <w:rFonts w:hint="eastAsia" w:ascii="宋体" w:hAnsi="宋体" w:eastAsia="宋体" w:cs="宋体"/>
                <w:kern w:val="0"/>
                <w:szCs w:val="21"/>
              </w:rPr>
              <w:t>3.3 学校管理员权限功能应包括：包含普通教师和学院管理员所有权限，查看全校提交的材料统计，设置材料项、设置教务员、督导员、评估专家角色；</w:t>
            </w:r>
          </w:p>
        </w:tc>
      </w:tr>
      <w:tr w14:paraId="5555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884" w:type="dxa"/>
            <w:vMerge w:val="continue"/>
            <w:shd w:val="clear" w:color="000000" w:fill="FFFFFF"/>
            <w:vAlign w:val="center"/>
          </w:tcPr>
          <w:p w14:paraId="0350944D">
            <w:pPr>
              <w:pStyle w:val="6"/>
              <w:rPr>
                <w:rFonts w:hint="eastAsia" w:ascii="宋体" w:hAnsi="宋体" w:cs="宋体"/>
                <w:szCs w:val="21"/>
              </w:rPr>
            </w:pPr>
          </w:p>
        </w:tc>
        <w:tc>
          <w:tcPr>
            <w:tcW w:w="744" w:type="dxa"/>
            <w:shd w:val="clear" w:color="000000" w:fill="FFFFFF"/>
            <w:vAlign w:val="center"/>
          </w:tcPr>
          <w:p w14:paraId="4555EF3E">
            <w:pPr>
              <w:pStyle w:val="6"/>
              <w:jc w:val="center"/>
              <w:rPr>
                <w:rFonts w:hint="eastAsia" w:ascii="宋体" w:hAnsi="宋体" w:cs="宋体"/>
                <w:szCs w:val="21"/>
              </w:rPr>
            </w:pPr>
            <w:r>
              <w:rPr>
                <w:rFonts w:hint="eastAsia" w:ascii="宋体" w:hAnsi="宋体" w:cs="宋体"/>
                <w:szCs w:val="21"/>
              </w:rPr>
              <w:t>存档进度统计模块</w:t>
            </w:r>
          </w:p>
        </w:tc>
        <w:tc>
          <w:tcPr>
            <w:tcW w:w="7515" w:type="dxa"/>
            <w:shd w:val="clear" w:color="000000" w:fill="FFFFFF"/>
          </w:tcPr>
          <w:p w14:paraId="0CC7E9E2">
            <w:pPr>
              <w:pStyle w:val="70"/>
              <w:numPr>
                <w:ilvl w:val="0"/>
                <w:numId w:val="8"/>
              </w:numPr>
              <w:rPr>
                <w:rFonts w:hint="eastAsia" w:ascii="宋体" w:hAnsi="宋体" w:eastAsia="宋体" w:cs="宋体"/>
                <w:color w:val="auto"/>
                <w:kern w:val="0"/>
                <w:szCs w:val="21"/>
              </w:rPr>
            </w:pPr>
            <w:r>
              <w:rPr>
                <w:rFonts w:hint="eastAsia" w:ascii="宋体" w:hAnsi="宋体" w:eastAsia="宋体" w:cs="宋体"/>
                <w:color w:val="auto"/>
                <w:kern w:val="0"/>
                <w:szCs w:val="21"/>
              </w:rPr>
              <w:t>可按照管理员角色、教师角色展示不同的统计维度及统计范围；</w:t>
            </w:r>
          </w:p>
          <w:p w14:paraId="6C642ABC">
            <w:pPr>
              <w:pStyle w:val="70"/>
              <w:numPr>
                <w:ilvl w:val="0"/>
                <w:numId w:val="8"/>
              </w:numPr>
              <w:rPr>
                <w:rFonts w:hint="eastAsia" w:ascii="宋体" w:hAnsi="宋体" w:eastAsia="宋体" w:cs="宋体"/>
                <w:color w:val="auto"/>
                <w:kern w:val="0"/>
                <w:szCs w:val="21"/>
              </w:rPr>
            </w:pPr>
            <w:r>
              <w:rPr>
                <w:rFonts w:hint="eastAsia" w:ascii="宋体" w:hAnsi="宋体" w:eastAsia="宋体" w:cs="宋体"/>
                <w:color w:val="auto"/>
                <w:kern w:val="0"/>
                <w:szCs w:val="21"/>
              </w:rPr>
              <w:t>课程维度统计：展示存档时间、学年学期、各阶段比例，包括未开始（未提交任何材料）、进行中（提交部分材料）、已完成（材料全部提交且审核完成）；</w:t>
            </w:r>
          </w:p>
          <w:p w14:paraId="59C871DF">
            <w:pPr>
              <w:pStyle w:val="70"/>
              <w:numPr>
                <w:ilvl w:val="0"/>
                <w:numId w:val="8"/>
              </w:numPr>
              <w:rPr>
                <w:rFonts w:hint="eastAsia" w:ascii="宋体" w:hAnsi="宋体" w:eastAsia="宋体" w:cs="宋体"/>
                <w:color w:val="auto"/>
                <w:kern w:val="0"/>
                <w:szCs w:val="21"/>
              </w:rPr>
            </w:pPr>
            <w:r>
              <w:rPr>
                <w:rFonts w:hint="eastAsia" w:ascii="宋体" w:hAnsi="宋体" w:eastAsia="宋体" w:cs="宋体"/>
                <w:color w:val="auto"/>
                <w:kern w:val="0"/>
                <w:szCs w:val="21"/>
              </w:rPr>
              <w:t>材料维度统计：按存档时间、学年学期、材料分类，统计各课程提交情况；</w:t>
            </w:r>
          </w:p>
          <w:p w14:paraId="79C55059">
            <w:pPr>
              <w:pStyle w:val="70"/>
              <w:numPr>
                <w:ilvl w:val="0"/>
                <w:numId w:val="8"/>
              </w:numPr>
              <w:rPr>
                <w:rFonts w:hint="eastAsia" w:ascii="宋体" w:hAnsi="宋体" w:eastAsia="宋体" w:cs="宋体"/>
                <w:color w:val="auto"/>
                <w:kern w:val="0"/>
                <w:szCs w:val="21"/>
              </w:rPr>
            </w:pPr>
            <w:r>
              <w:rPr>
                <w:rFonts w:hint="eastAsia" w:ascii="宋体" w:hAnsi="宋体" w:eastAsia="宋体" w:cs="宋体"/>
                <w:color w:val="auto"/>
                <w:kern w:val="0"/>
                <w:szCs w:val="21"/>
              </w:rPr>
              <w:t>整体统计：支持统计按存档时间、学年学期、全校或教学单位内，应提交材料数量、审核中材料数量、已完成材料数量；</w:t>
            </w:r>
          </w:p>
          <w:p w14:paraId="21A86C75">
            <w:pPr>
              <w:pStyle w:val="70"/>
              <w:numPr>
                <w:ilvl w:val="0"/>
                <w:numId w:val="8"/>
              </w:numPr>
              <w:rPr>
                <w:rFonts w:hint="eastAsia" w:ascii="宋体" w:hAnsi="宋体" w:eastAsia="宋体" w:cs="宋体"/>
                <w:color w:val="auto"/>
                <w:kern w:val="0"/>
                <w:szCs w:val="21"/>
              </w:rPr>
            </w:pPr>
            <w:r>
              <w:rPr>
                <w:rFonts w:hint="eastAsia" w:ascii="宋体" w:hAnsi="宋体" w:eastAsia="宋体" w:cs="宋体"/>
                <w:color w:val="auto"/>
                <w:kern w:val="0"/>
                <w:szCs w:val="21"/>
              </w:rPr>
              <w:t>支持统计材料导出：支持按存档时间、学年学期、课程、课程编号、教学班、教学班编号、任课教师、各材料上传状态进行数据导出，满足多样化统计分析需求。</w:t>
            </w:r>
          </w:p>
        </w:tc>
      </w:tr>
      <w:tr w14:paraId="2B6A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4" w:type="dxa"/>
            <w:vMerge w:val="continue"/>
            <w:shd w:val="clear" w:color="000000" w:fill="FFFFFF"/>
            <w:vAlign w:val="center"/>
          </w:tcPr>
          <w:p w14:paraId="4BB7A08B">
            <w:pPr>
              <w:pStyle w:val="6"/>
              <w:rPr>
                <w:rFonts w:hint="eastAsia" w:ascii="宋体" w:hAnsi="宋体" w:cs="宋体"/>
                <w:szCs w:val="21"/>
              </w:rPr>
            </w:pPr>
          </w:p>
        </w:tc>
        <w:tc>
          <w:tcPr>
            <w:tcW w:w="744" w:type="dxa"/>
            <w:shd w:val="clear" w:color="000000" w:fill="FFFFFF"/>
            <w:vAlign w:val="center"/>
          </w:tcPr>
          <w:p w14:paraId="5E96D813">
            <w:pPr>
              <w:pStyle w:val="6"/>
              <w:jc w:val="center"/>
              <w:rPr>
                <w:rFonts w:hint="eastAsia" w:ascii="宋体" w:hAnsi="宋体" w:cs="宋体"/>
                <w:szCs w:val="21"/>
              </w:rPr>
            </w:pPr>
            <w:r>
              <w:rPr>
                <w:rFonts w:hint="eastAsia" w:ascii="宋体" w:hAnsi="宋体" w:cs="宋体"/>
                <w:szCs w:val="21"/>
              </w:rPr>
              <w:t>材料项管理模块</w:t>
            </w:r>
          </w:p>
        </w:tc>
        <w:tc>
          <w:tcPr>
            <w:tcW w:w="7515" w:type="dxa"/>
            <w:shd w:val="clear" w:color="000000" w:fill="FFFFFF"/>
          </w:tcPr>
          <w:p w14:paraId="5BEC3A1A">
            <w:pPr>
              <w:rPr>
                <w:rFonts w:hint="eastAsia" w:ascii="宋体" w:hAnsi="宋体" w:eastAsia="宋体" w:cs="宋体"/>
                <w:kern w:val="0"/>
                <w:szCs w:val="21"/>
              </w:rPr>
            </w:pPr>
            <w:r>
              <w:rPr>
                <w:rFonts w:hint="eastAsia" w:ascii="宋体" w:hAnsi="宋体" w:eastAsia="宋体" w:cs="宋体"/>
                <w:kern w:val="0"/>
                <w:szCs w:val="21"/>
              </w:rPr>
              <w:t>1.应支持对已经添加的材料项进行管理，列表显示材料项名称、来源、材料文件类型、材料大小限制、审核流程、创建时间、启用状态，支持查看适用课程；</w:t>
            </w:r>
          </w:p>
          <w:p w14:paraId="107DD230">
            <w:pPr>
              <w:rPr>
                <w:rFonts w:hint="eastAsia" w:ascii="宋体" w:hAnsi="宋体" w:eastAsia="宋体" w:cs="宋体"/>
                <w:kern w:val="0"/>
                <w:szCs w:val="21"/>
              </w:rPr>
            </w:pPr>
            <w:r>
              <w:rPr>
                <w:rFonts w:hint="eastAsia" w:ascii="宋体" w:hAnsi="宋体" w:eastAsia="宋体" w:cs="宋体"/>
                <w:kern w:val="0"/>
                <w:szCs w:val="21"/>
              </w:rPr>
              <w:t>2.应支持按照材料项名称对材料项进行模糊搜索；</w:t>
            </w:r>
          </w:p>
          <w:p w14:paraId="45F52DA4">
            <w:pPr>
              <w:rPr>
                <w:rFonts w:hint="eastAsia" w:ascii="宋体" w:hAnsi="宋体" w:eastAsia="宋体" w:cs="宋体"/>
                <w:kern w:val="0"/>
                <w:szCs w:val="21"/>
              </w:rPr>
            </w:pPr>
            <w:r>
              <w:rPr>
                <w:rFonts w:hint="eastAsia" w:ascii="宋体" w:hAnsi="宋体" w:eastAsia="宋体" w:cs="宋体"/>
                <w:kern w:val="0"/>
                <w:szCs w:val="21"/>
              </w:rPr>
              <w:t>3.新建和编辑材料项时，应支持填写材料项的：材料项名称、来源、材料文件类型、材料大小限制、审核流程、启用状态、适用课程，材料项来源支持教师上传、纸笔阅卷系统、课程目标达成度系统，当选择教师上传时，教师提交材料时需手动上传符合要求的文件，当选择纸笔阅卷系统或课程目标达成度系统时，支持从现有的纸笔阅卷系统，课程目标达成度系统引用现有报告，如试卷分析报告、课程目标达成度分析报告，无需教师手动上传；</w:t>
            </w:r>
          </w:p>
          <w:p w14:paraId="69E4BAE0">
            <w:pPr>
              <w:rPr>
                <w:rFonts w:hint="eastAsia" w:ascii="宋体" w:hAnsi="宋体" w:eastAsia="宋体" w:cs="宋体"/>
                <w:kern w:val="0"/>
                <w:szCs w:val="21"/>
              </w:rPr>
            </w:pPr>
            <w:r>
              <w:rPr>
                <w:rFonts w:hint="eastAsia" w:ascii="宋体" w:hAnsi="宋体" w:eastAsia="宋体" w:cs="宋体"/>
                <w:kern w:val="0"/>
                <w:szCs w:val="21"/>
              </w:rPr>
              <w:t>4.支持自定义审核流程，支持引用其他材料项的审核流程；</w:t>
            </w:r>
          </w:p>
          <w:p w14:paraId="06E21C77">
            <w:pPr>
              <w:rPr>
                <w:rFonts w:hint="eastAsia" w:ascii="宋体" w:hAnsi="宋体" w:eastAsia="宋体" w:cs="宋体"/>
                <w:kern w:val="0"/>
                <w:szCs w:val="21"/>
              </w:rPr>
            </w:pPr>
            <w:r>
              <w:rPr>
                <w:rFonts w:hint="eastAsia" w:ascii="宋体" w:hAnsi="宋体" w:eastAsia="宋体" w:cs="宋体"/>
                <w:kern w:val="0"/>
                <w:szCs w:val="21"/>
              </w:rPr>
              <w:t>5.新建的材料应可以设定是否为必须上传的材料；支持为材料项设置材料存档后，学校管理员设置多长时间内不可删除，删除存档材料时，对此时间进行校验；</w:t>
            </w:r>
          </w:p>
        </w:tc>
      </w:tr>
      <w:tr w14:paraId="56A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84" w:type="dxa"/>
            <w:vMerge w:val="continue"/>
            <w:shd w:val="clear" w:color="000000" w:fill="FFFFFF"/>
            <w:vAlign w:val="center"/>
          </w:tcPr>
          <w:p w14:paraId="34F17477">
            <w:pPr>
              <w:pStyle w:val="6"/>
              <w:rPr>
                <w:rFonts w:hint="eastAsia" w:ascii="宋体" w:hAnsi="宋体" w:cs="宋体"/>
                <w:szCs w:val="21"/>
              </w:rPr>
            </w:pPr>
          </w:p>
        </w:tc>
        <w:tc>
          <w:tcPr>
            <w:tcW w:w="744" w:type="dxa"/>
            <w:shd w:val="clear" w:color="000000" w:fill="FFFFFF"/>
            <w:vAlign w:val="center"/>
          </w:tcPr>
          <w:p w14:paraId="2E0DCA3B">
            <w:pPr>
              <w:pStyle w:val="6"/>
              <w:jc w:val="center"/>
              <w:rPr>
                <w:rFonts w:hint="eastAsia" w:ascii="宋体" w:hAnsi="宋体" w:cs="宋体"/>
                <w:szCs w:val="21"/>
              </w:rPr>
            </w:pPr>
            <w:r>
              <w:rPr>
                <w:rFonts w:hint="eastAsia" w:ascii="宋体" w:hAnsi="宋体" w:cs="宋体"/>
                <w:szCs w:val="21"/>
              </w:rPr>
              <w:t>自定义角色模块</w:t>
            </w:r>
          </w:p>
        </w:tc>
        <w:tc>
          <w:tcPr>
            <w:tcW w:w="7515" w:type="dxa"/>
            <w:shd w:val="clear" w:color="000000" w:fill="FFFFFF"/>
          </w:tcPr>
          <w:p w14:paraId="6213FA78">
            <w:pPr>
              <w:pStyle w:val="6"/>
              <w:numPr>
                <w:ilvl w:val="0"/>
                <w:numId w:val="9"/>
              </w:numPr>
              <w:rPr>
                <w:rFonts w:hint="eastAsia" w:ascii="宋体" w:hAnsi="宋体" w:eastAsia="宋体" w:cs="宋体"/>
                <w:kern w:val="0"/>
                <w:szCs w:val="21"/>
              </w:rPr>
            </w:pPr>
            <w:r>
              <w:rPr>
                <w:rFonts w:hint="eastAsia" w:ascii="宋体" w:hAnsi="宋体" w:eastAsia="宋体" w:cs="宋体"/>
                <w:kern w:val="0"/>
                <w:szCs w:val="21"/>
              </w:rPr>
              <w:t>应支持查看设置自定义角色，自定义角色可自定义角色名称，自定义角色对每个模块的功能权限；</w:t>
            </w:r>
          </w:p>
          <w:p w14:paraId="337CC0E9">
            <w:pPr>
              <w:pStyle w:val="7"/>
              <w:numPr>
                <w:ilvl w:val="0"/>
                <w:numId w:val="9"/>
              </w:numPr>
              <w:ind w:left="0"/>
              <w:rPr>
                <w:rFonts w:hint="eastAsia" w:ascii="宋体" w:hAnsi="宋体" w:eastAsia="宋体" w:cs="宋体"/>
                <w:kern w:val="0"/>
                <w:sz w:val="21"/>
                <w:szCs w:val="21"/>
              </w:rPr>
            </w:pPr>
            <w:r>
              <w:rPr>
                <w:rFonts w:hint="eastAsia" w:ascii="宋体" w:hAnsi="宋体" w:eastAsia="宋体" w:cs="宋体"/>
                <w:kern w:val="0"/>
                <w:sz w:val="21"/>
                <w:szCs w:val="21"/>
              </w:rPr>
              <w:t>应支持为自定义角色绑定账号，绑定账号后，账号拥有该角色对应的权限。应支持账号的解除和禁用操作，解除或禁用后，账号不再拥有对应角色；</w:t>
            </w:r>
          </w:p>
          <w:p w14:paraId="54017306">
            <w:pPr>
              <w:numPr>
                <w:ilvl w:val="0"/>
                <w:numId w:val="9"/>
              </w:numPr>
              <w:rPr>
                <w:rFonts w:hint="eastAsia" w:ascii="宋体" w:hAnsi="宋体" w:eastAsia="宋体" w:cs="宋体"/>
                <w:kern w:val="0"/>
                <w:szCs w:val="21"/>
              </w:rPr>
            </w:pPr>
            <w:r>
              <w:rPr>
                <w:rFonts w:hint="eastAsia" w:ascii="宋体" w:hAnsi="宋体" w:eastAsia="宋体" w:cs="宋体"/>
                <w:kern w:val="0"/>
                <w:szCs w:val="21"/>
              </w:rPr>
              <w:t>账号支持内置外部专家角色，外部专家拥有存档中心材料的查询下载权限；</w:t>
            </w:r>
          </w:p>
        </w:tc>
      </w:tr>
      <w:tr w14:paraId="7156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84" w:type="dxa"/>
            <w:vMerge w:val="continue"/>
            <w:shd w:val="clear" w:color="000000" w:fill="FFFFFF"/>
            <w:vAlign w:val="center"/>
          </w:tcPr>
          <w:p w14:paraId="5042BDB5">
            <w:pPr>
              <w:pStyle w:val="6"/>
              <w:rPr>
                <w:rFonts w:hint="eastAsia" w:ascii="宋体" w:hAnsi="宋体" w:cs="宋体"/>
                <w:szCs w:val="21"/>
              </w:rPr>
            </w:pPr>
          </w:p>
        </w:tc>
        <w:tc>
          <w:tcPr>
            <w:tcW w:w="744" w:type="dxa"/>
            <w:shd w:val="clear" w:color="000000" w:fill="FFFFFF"/>
            <w:vAlign w:val="center"/>
          </w:tcPr>
          <w:p w14:paraId="2B74B2C7">
            <w:pPr>
              <w:pStyle w:val="6"/>
              <w:jc w:val="center"/>
              <w:rPr>
                <w:rFonts w:hint="eastAsia" w:ascii="宋体" w:hAnsi="宋体" w:cs="宋体"/>
                <w:szCs w:val="21"/>
              </w:rPr>
            </w:pPr>
            <w:r>
              <w:rPr>
                <w:rFonts w:hint="eastAsia" w:ascii="宋体" w:hAnsi="宋体" w:cs="宋体"/>
                <w:szCs w:val="21"/>
              </w:rPr>
              <w:t>采集计划管理模块</w:t>
            </w:r>
          </w:p>
        </w:tc>
        <w:tc>
          <w:tcPr>
            <w:tcW w:w="7515" w:type="dxa"/>
            <w:shd w:val="clear" w:color="000000" w:fill="FFFFFF"/>
          </w:tcPr>
          <w:p w14:paraId="36FB56F5">
            <w:pPr>
              <w:rPr>
                <w:rFonts w:hint="eastAsia" w:ascii="宋体" w:hAnsi="宋体" w:eastAsia="宋体" w:cs="宋体"/>
                <w:kern w:val="0"/>
                <w:szCs w:val="21"/>
              </w:rPr>
            </w:pPr>
            <w:r>
              <w:rPr>
                <w:rFonts w:hint="eastAsia" w:ascii="宋体" w:hAnsi="宋体" w:eastAsia="宋体" w:cs="宋体"/>
                <w:kern w:val="0"/>
                <w:szCs w:val="21"/>
              </w:rPr>
              <w:t>1.应支持查看已经创建的采集计划，支持查看计划名称、采集开始时间、采集结束时间、计划内包含的课程、计划状态，编辑计划；</w:t>
            </w:r>
          </w:p>
          <w:p w14:paraId="6343C699">
            <w:pPr>
              <w:rPr>
                <w:rFonts w:hint="eastAsia" w:ascii="宋体" w:hAnsi="宋体" w:eastAsia="宋体" w:cs="宋体"/>
                <w:kern w:val="0"/>
                <w:szCs w:val="21"/>
              </w:rPr>
            </w:pPr>
            <w:r>
              <w:rPr>
                <w:rFonts w:hint="eastAsia" w:ascii="宋体" w:hAnsi="宋体" w:eastAsia="宋体" w:cs="宋体"/>
                <w:kern w:val="0"/>
                <w:szCs w:val="21"/>
              </w:rPr>
              <w:t>2.计划状态应包括未开始、进行中、已结束、已禁用，已禁用的计划，计划内已经提交的材料、审核中的材料都将不在审核列表和存档中心展示;</w:t>
            </w:r>
          </w:p>
          <w:p w14:paraId="3A26D45E">
            <w:pPr>
              <w:rPr>
                <w:rFonts w:hint="eastAsia" w:ascii="宋体" w:hAnsi="宋体" w:eastAsia="宋体" w:cs="宋体"/>
                <w:kern w:val="0"/>
                <w:szCs w:val="21"/>
              </w:rPr>
            </w:pPr>
            <w:r>
              <w:rPr>
                <w:rFonts w:hint="eastAsia" w:ascii="宋体" w:hAnsi="宋体" w:eastAsia="宋体" w:cs="宋体"/>
                <w:kern w:val="0"/>
                <w:szCs w:val="21"/>
              </w:rPr>
              <w:t>3.计划计划时，支持修改计划名称、采集开始时间、采集结束时间、计划内包含的课程、计划延期等操作；</w:t>
            </w:r>
          </w:p>
          <w:p w14:paraId="7EADEC7E">
            <w:pPr>
              <w:rPr>
                <w:rFonts w:hint="eastAsia" w:ascii="宋体" w:hAnsi="宋体" w:eastAsia="宋体" w:cs="宋体"/>
                <w:kern w:val="0"/>
                <w:szCs w:val="21"/>
              </w:rPr>
            </w:pPr>
            <w:r>
              <w:rPr>
                <w:rFonts w:hint="eastAsia" w:ascii="宋体" w:hAnsi="宋体" w:eastAsia="宋体" w:cs="宋体"/>
                <w:kern w:val="0"/>
                <w:szCs w:val="21"/>
              </w:rPr>
              <w:t>4.删除计划时，计划内已经提交的材料、审核中的材料都将不在审核列表和存档中心展示；</w:t>
            </w:r>
          </w:p>
        </w:tc>
      </w:tr>
      <w:tr w14:paraId="0F89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4" w:type="dxa"/>
            <w:vMerge w:val="continue"/>
            <w:shd w:val="clear" w:color="000000" w:fill="FFFFFF"/>
            <w:vAlign w:val="center"/>
          </w:tcPr>
          <w:p w14:paraId="20CC8A9B">
            <w:pPr>
              <w:pStyle w:val="6"/>
              <w:rPr>
                <w:rFonts w:hint="eastAsia" w:ascii="宋体" w:hAnsi="宋体" w:cs="宋体"/>
                <w:szCs w:val="21"/>
              </w:rPr>
            </w:pPr>
          </w:p>
        </w:tc>
        <w:tc>
          <w:tcPr>
            <w:tcW w:w="744" w:type="dxa"/>
            <w:shd w:val="clear" w:color="000000" w:fill="FFFFFF"/>
            <w:vAlign w:val="center"/>
          </w:tcPr>
          <w:p w14:paraId="61EE1314">
            <w:pPr>
              <w:pStyle w:val="6"/>
              <w:jc w:val="center"/>
              <w:rPr>
                <w:rFonts w:hint="eastAsia" w:ascii="宋体" w:hAnsi="宋体" w:cs="宋体"/>
                <w:szCs w:val="21"/>
              </w:rPr>
            </w:pPr>
            <w:r>
              <w:rPr>
                <w:rFonts w:hint="eastAsia" w:ascii="宋体" w:hAnsi="宋体" w:cs="宋体"/>
                <w:szCs w:val="21"/>
              </w:rPr>
              <w:t>提交材料模块</w:t>
            </w:r>
          </w:p>
        </w:tc>
        <w:tc>
          <w:tcPr>
            <w:tcW w:w="7515" w:type="dxa"/>
            <w:shd w:val="clear" w:color="000000" w:fill="FFFFFF"/>
          </w:tcPr>
          <w:p w14:paraId="055EDE01">
            <w:pPr>
              <w:numPr>
                <w:ilvl w:val="0"/>
                <w:numId w:val="10"/>
              </w:numPr>
              <w:rPr>
                <w:rFonts w:hint="eastAsia" w:ascii="宋体" w:hAnsi="宋体" w:cs="宋体"/>
                <w:szCs w:val="21"/>
              </w:rPr>
            </w:pPr>
            <w:r>
              <w:rPr>
                <w:rFonts w:hint="eastAsia" w:ascii="宋体" w:hAnsi="宋体" w:cs="宋体"/>
                <w:szCs w:val="21"/>
              </w:rPr>
              <w:t>应支持用户在该页面进行材料提交，页面展示进行中的计划，可通过材料项名称搜索材料项；</w:t>
            </w:r>
          </w:p>
          <w:p w14:paraId="237789E2">
            <w:pPr>
              <w:pStyle w:val="6"/>
              <w:numPr>
                <w:ilvl w:val="0"/>
                <w:numId w:val="10"/>
              </w:numPr>
              <w:rPr>
                <w:rFonts w:hint="eastAsia" w:ascii="宋体" w:hAnsi="宋体" w:cs="宋体"/>
                <w:szCs w:val="21"/>
              </w:rPr>
            </w:pPr>
            <w:r>
              <w:rPr>
                <w:rFonts w:hint="eastAsia" w:ascii="宋体" w:hAnsi="宋体" w:cs="宋体"/>
                <w:szCs w:val="21"/>
              </w:rPr>
              <w:t>提交材料时，根据材料项的设定，手动上传材料或者引用系统中的材料；</w:t>
            </w:r>
          </w:p>
          <w:p w14:paraId="3BF15B73">
            <w:pPr>
              <w:pStyle w:val="7"/>
              <w:numPr>
                <w:ilvl w:val="0"/>
                <w:numId w:val="10"/>
              </w:numPr>
              <w:ind w:left="0"/>
              <w:rPr>
                <w:rFonts w:hint="eastAsia" w:ascii="宋体" w:hAnsi="宋体" w:cs="宋体"/>
                <w:kern w:val="2"/>
                <w:sz w:val="21"/>
                <w:szCs w:val="21"/>
              </w:rPr>
            </w:pPr>
            <w:r>
              <w:rPr>
                <w:rFonts w:hint="eastAsia" w:ascii="宋体" w:hAnsi="宋体" w:cs="宋体"/>
                <w:kern w:val="2"/>
                <w:sz w:val="21"/>
                <w:szCs w:val="21"/>
              </w:rPr>
              <w:t>上传材料时，应支持校验材料格式和材料大小，符合格式和大小的材料允许进入下一步，不符合格式和大小的材料不允许进入下一步；</w:t>
            </w:r>
          </w:p>
          <w:p w14:paraId="354E1508">
            <w:pPr>
              <w:numPr>
                <w:ilvl w:val="0"/>
                <w:numId w:val="10"/>
              </w:numPr>
              <w:rPr>
                <w:rFonts w:hint="eastAsia" w:ascii="宋体" w:hAnsi="宋体" w:cs="宋体"/>
                <w:szCs w:val="21"/>
              </w:rPr>
            </w:pPr>
            <w:r>
              <w:rPr>
                <w:rFonts w:hint="eastAsia" w:ascii="宋体" w:hAnsi="宋体" w:cs="宋体"/>
                <w:szCs w:val="21"/>
              </w:rPr>
              <w:t>材料需关联课程和教学班，选择教学班时，标记该计划下，该教学班是否有相同材料已经上传；</w:t>
            </w:r>
          </w:p>
        </w:tc>
      </w:tr>
      <w:tr w14:paraId="2FB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84" w:type="dxa"/>
            <w:vMerge w:val="continue"/>
            <w:shd w:val="clear" w:color="000000" w:fill="FFFFFF"/>
            <w:vAlign w:val="center"/>
          </w:tcPr>
          <w:p w14:paraId="2FE3E9AC">
            <w:pPr>
              <w:pStyle w:val="6"/>
              <w:rPr>
                <w:rFonts w:hint="eastAsia" w:ascii="宋体" w:hAnsi="宋体" w:cs="宋体"/>
                <w:szCs w:val="21"/>
              </w:rPr>
            </w:pPr>
          </w:p>
        </w:tc>
        <w:tc>
          <w:tcPr>
            <w:tcW w:w="744" w:type="dxa"/>
            <w:shd w:val="clear" w:color="000000" w:fill="FFFFFF"/>
            <w:vAlign w:val="center"/>
          </w:tcPr>
          <w:p w14:paraId="55883882">
            <w:pPr>
              <w:pStyle w:val="6"/>
              <w:jc w:val="center"/>
              <w:rPr>
                <w:rFonts w:hint="eastAsia" w:ascii="宋体" w:hAnsi="宋体" w:cs="宋体"/>
                <w:szCs w:val="21"/>
              </w:rPr>
            </w:pPr>
            <w:r>
              <w:rPr>
                <w:rFonts w:hint="eastAsia" w:ascii="宋体" w:hAnsi="宋体" w:cs="宋体"/>
                <w:szCs w:val="21"/>
              </w:rPr>
              <w:t>材料审核模块</w:t>
            </w:r>
          </w:p>
        </w:tc>
        <w:tc>
          <w:tcPr>
            <w:tcW w:w="7515" w:type="dxa"/>
            <w:shd w:val="clear" w:color="000000" w:fill="FFFFFF"/>
          </w:tcPr>
          <w:p w14:paraId="65ECC8F0">
            <w:pPr>
              <w:pStyle w:val="6"/>
              <w:numPr>
                <w:ilvl w:val="0"/>
                <w:numId w:val="11"/>
              </w:numPr>
              <w:rPr>
                <w:rFonts w:hint="eastAsia" w:ascii="宋体" w:hAnsi="宋体" w:cs="宋体"/>
                <w:szCs w:val="21"/>
              </w:rPr>
            </w:pPr>
            <w:r>
              <w:rPr>
                <w:rFonts w:hint="eastAsia" w:ascii="宋体" w:hAnsi="宋体" w:cs="宋体"/>
                <w:szCs w:val="21"/>
              </w:rPr>
              <w:t>应支持教师提交的材料在审核中心展示功能，教师可在该列表查看审核进行中的审核和已经完成的审核。</w:t>
            </w:r>
          </w:p>
          <w:p w14:paraId="47E586BD">
            <w:pPr>
              <w:pStyle w:val="7"/>
              <w:numPr>
                <w:ilvl w:val="0"/>
                <w:numId w:val="11"/>
              </w:numPr>
              <w:ind w:left="0"/>
              <w:rPr>
                <w:rFonts w:hint="eastAsia" w:ascii="宋体" w:hAnsi="宋体" w:cs="宋体"/>
                <w:kern w:val="2"/>
                <w:sz w:val="21"/>
                <w:szCs w:val="21"/>
              </w:rPr>
            </w:pPr>
            <w:r>
              <w:rPr>
                <w:rFonts w:hint="eastAsia" w:ascii="宋体" w:hAnsi="宋体" w:cs="宋体"/>
                <w:kern w:val="2"/>
                <w:sz w:val="21"/>
                <w:szCs w:val="21"/>
              </w:rPr>
              <w:t>应支持用户通过材料项进行模糊搜索；</w:t>
            </w:r>
          </w:p>
          <w:p w14:paraId="4B6EDB8C">
            <w:pPr>
              <w:numPr>
                <w:ilvl w:val="0"/>
                <w:numId w:val="11"/>
              </w:numPr>
              <w:rPr>
                <w:rFonts w:hint="eastAsia" w:ascii="宋体" w:hAnsi="宋体" w:cs="宋体"/>
                <w:szCs w:val="21"/>
              </w:rPr>
            </w:pPr>
            <w:r>
              <w:rPr>
                <w:rFonts w:hint="eastAsia" w:ascii="宋体" w:hAnsi="宋体" w:cs="宋体"/>
                <w:szCs w:val="21"/>
              </w:rPr>
              <w:t>应支持不同角色不同操作权限，材料提交者支持查看材料审核详情，审核人支持审核材料；</w:t>
            </w:r>
          </w:p>
          <w:p w14:paraId="76E9705C">
            <w:pPr>
              <w:pStyle w:val="6"/>
              <w:numPr>
                <w:ilvl w:val="0"/>
                <w:numId w:val="11"/>
              </w:numPr>
              <w:rPr>
                <w:rFonts w:hint="eastAsia" w:ascii="宋体" w:hAnsi="宋体" w:cs="宋体"/>
                <w:szCs w:val="21"/>
              </w:rPr>
            </w:pPr>
            <w:r>
              <w:rPr>
                <w:rFonts w:hint="eastAsia" w:ascii="宋体" w:hAnsi="宋体" w:cs="宋体"/>
                <w:szCs w:val="21"/>
              </w:rPr>
              <w:t>审核材料应支持通过和退回，退回时支持填写退回原因。材料提交者可在审核中心看到退回的材料，并可对材料进行二次编辑，编辑完成后可再次提交审核；</w:t>
            </w:r>
          </w:p>
          <w:p w14:paraId="748865D7">
            <w:pPr>
              <w:pStyle w:val="7"/>
              <w:numPr>
                <w:ilvl w:val="0"/>
                <w:numId w:val="11"/>
              </w:numPr>
              <w:ind w:left="0"/>
              <w:rPr>
                <w:rFonts w:hint="eastAsia" w:ascii="宋体" w:hAnsi="宋体" w:cs="宋体"/>
                <w:kern w:val="2"/>
                <w:sz w:val="21"/>
                <w:szCs w:val="21"/>
              </w:rPr>
            </w:pPr>
            <w:r>
              <w:rPr>
                <w:rFonts w:hint="eastAsia" w:ascii="宋体" w:hAnsi="宋体" w:cs="宋体"/>
                <w:kern w:val="2"/>
                <w:sz w:val="21"/>
                <w:szCs w:val="21"/>
              </w:rPr>
              <w:t>应支持批量审核操作，可批量通过和批量退回；</w:t>
            </w:r>
          </w:p>
        </w:tc>
      </w:tr>
      <w:tr w14:paraId="10A9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84" w:type="dxa"/>
            <w:vMerge w:val="continue"/>
            <w:shd w:val="clear" w:color="000000" w:fill="FFFFFF"/>
            <w:vAlign w:val="center"/>
          </w:tcPr>
          <w:p w14:paraId="3C8CD84F">
            <w:pPr>
              <w:pStyle w:val="6"/>
              <w:rPr>
                <w:rFonts w:hint="eastAsia" w:ascii="宋体" w:hAnsi="宋体" w:cs="宋体"/>
                <w:szCs w:val="21"/>
              </w:rPr>
            </w:pPr>
          </w:p>
        </w:tc>
        <w:tc>
          <w:tcPr>
            <w:tcW w:w="744" w:type="dxa"/>
            <w:shd w:val="clear" w:color="000000" w:fill="FFFFFF"/>
            <w:vAlign w:val="center"/>
          </w:tcPr>
          <w:p w14:paraId="02532FF6">
            <w:pPr>
              <w:pStyle w:val="6"/>
              <w:jc w:val="center"/>
              <w:rPr>
                <w:rFonts w:hint="eastAsia" w:ascii="宋体" w:hAnsi="宋体" w:cs="宋体"/>
                <w:szCs w:val="21"/>
              </w:rPr>
            </w:pPr>
            <w:r>
              <w:rPr>
                <w:rFonts w:hint="eastAsia" w:ascii="宋体" w:hAnsi="宋体" w:cs="宋体"/>
                <w:szCs w:val="21"/>
              </w:rPr>
              <w:t>存档中心模块</w:t>
            </w:r>
          </w:p>
        </w:tc>
        <w:tc>
          <w:tcPr>
            <w:tcW w:w="7515" w:type="dxa"/>
            <w:shd w:val="clear" w:color="000000" w:fill="FFFFFF"/>
          </w:tcPr>
          <w:p w14:paraId="4C639B00">
            <w:pPr>
              <w:numPr>
                <w:ilvl w:val="0"/>
                <w:numId w:val="12"/>
              </w:numPr>
              <w:rPr>
                <w:rFonts w:hint="eastAsia" w:ascii="宋体" w:hAnsi="宋体" w:cs="宋体"/>
                <w:szCs w:val="21"/>
              </w:rPr>
            </w:pPr>
            <w:r>
              <w:rPr>
                <w:rFonts w:hint="eastAsia" w:ascii="宋体" w:hAnsi="宋体" w:cs="宋体"/>
                <w:szCs w:val="21"/>
              </w:rPr>
              <w:t>应支持校管理员、学院管理员（教务员）、督导员、评估专家在存档中心查看已经存档的材料，存档中心按照材料采集计划分课程和材料项两个维度展示存档材料；</w:t>
            </w:r>
          </w:p>
          <w:p w14:paraId="243E3668">
            <w:pPr>
              <w:pStyle w:val="6"/>
              <w:numPr>
                <w:ilvl w:val="0"/>
                <w:numId w:val="12"/>
              </w:numPr>
              <w:rPr>
                <w:rFonts w:hint="eastAsia" w:ascii="宋体" w:hAnsi="宋体" w:cs="宋体"/>
                <w:szCs w:val="21"/>
              </w:rPr>
            </w:pPr>
            <w:r>
              <w:rPr>
                <w:rFonts w:hint="eastAsia" w:ascii="宋体" w:hAnsi="宋体" w:cs="宋体"/>
                <w:szCs w:val="21"/>
              </w:rPr>
              <w:t>按课程维度展示存档材料时，支持按照课程名称模糊搜索，按材料项维度展示材料时，支持按照材料名称搜索；</w:t>
            </w:r>
          </w:p>
          <w:p w14:paraId="01B9F160">
            <w:pPr>
              <w:pStyle w:val="7"/>
              <w:numPr>
                <w:ilvl w:val="0"/>
                <w:numId w:val="12"/>
              </w:numPr>
              <w:ind w:left="0"/>
              <w:rPr>
                <w:rFonts w:hint="eastAsia" w:ascii="宋体" w:hAnsi="宋体" w:cs="宋体"/>
                <w:kern w:val="2"/>
                <w:sz w:val="21"/>
                <w:szCs w:val="21"/>
              </w:rPr>
            </w:pPr>
            <w:r>
              <w:rPr>
                <w:rFonts w:hint="eastAsia" w:ascii="宋体" w:hAnsi="宋体" w:cs="宋体"/>
                <w:kern w:val="2"/>
                <w:sz w:val="21"/>
                <w:szCs w:val="21"/>
              </w:rPr>
              <w:t>查看材料时，支持word、pdf、图片类型的材料在线查看，所有材料支持下载，并记录下载日志，下载日志可在材料详情中查看；</w:t>
            </w:r>
          </w:p>
          <w:p w14:paraId="556DAF30">
            <w:pPr>
              <w:numPr>
                <w:ilvl w:val="0"/>
                <w:numId w:val="12"/>
              </w:numPr>
              <w:rPr>
                <w:rFonts w:hint="eastAsia" w:ascii="宋体" w:hAnsi="宋体" w:cs="宋体"/>
                <w:szCs w:val="21"/>
              </w:rPr>
            </w:pPr>
            <w:r>
              <w:rPr>
                <w:rFonts w:hint="eastAsia" w:ascii="宋体" w:hAnsi="宋体" w:cs="宋体"/>
                <w:szCs w:val="21"/>
              </w:rPr>
              <w:t>材料支持标记已读状态，按用户、采集计划、课程、材料项作为唯一标记，用户标记已读后，在列表和材料详情中标记已读；</w:t>
            </w:r>
          </w:p>
          <w:p w14:paraId="6BE6B0EF">
            <w:pPr>
              <w:pStyle w:val="6"/>
              <w:numPr>
                <w:ilvl w:val="0"/>
                <w:numId w:val="12"/>
              </w:numPr>
              <w:rPr>
                <w:rFonts w:hint="eastAsia" w:ascii="宋体" w:hAnsi="宋体" w:cs="宋体"/>
                <w:szCs w:val="21"/>
              </w:rPr>
            </w:pPr>
            <w:r>
              <w:rPr>
                <w:rFonts w:hint="eastAsia" w:ascii="宋体" w:hAnsi="宋体" w:cs="宋体"/>
                <w:szCs w:val="21"/>
              </w:rPr>
              <w:t>应支持管理员作废和删除存档材料功能，已作废的材料不在存档中心列表中展示，管理员可在作废材料列表中找到已作废的材料，进行恢复或彻底删除。已删除的材料无法恢复。作废和删除均应支持批量操作；</w:t>
            </w:r>
          </w:p>
          <w:p w14:paraId="0C1EB245">
            <w:pPr>
              <w:pStyle w:val="6"/>
              <w:numPr>
                <w:ilvl w:val="0"/>
                <w:numId w:val="12"/>
              </w:numP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删除时校验材料存档时限，未达到最短时限</w:t>
            </w:r>
            <w:r>
              <w:rPr>
                <w:rFonts w:hint="eastAsia" w:ascii="宋体" w:hAnsi="宋体" w:cs="宋体"/>
                <w:szCs w:val="21"/>
              </w:rPr>
              <w:t>的</w:t>
            </w:r>
            <w:r>
              <w:rPr>
                <w:rFonts w:hint="eastAsia" w:ascii="宋体" w:hAnsi="宋体" w:cs="宋体"/>
                <w:color w:val="000000" w:themeColor="text1"/>
                <w:szCs w:val="21"/>
                <w14:textFill>
                  <w14:solidFill>
                    <w14:schemeClr w14:val="tx1"/>
                  </w14:solidFill>
                </w14:textFill>
              </w:rPr>
              <w:t>，不允许删除；</w:t>
            </w:r>
          </w:p>
        </w:tc>
      </w:tr>
    </w:tbl>
    <w:p w14:paraId="598B89A6">
      <w:pPr>
        <w:pStyle w:val="2"/>
        <w:spacing w:before="100" w:line="360" w:lineRule="auto"/>
        <w:jc w:val="center"/>
      </w:pPr>
    </w:p>
    <w:p w14:paraId="592C9492">
      <w:pPr>
        <w:spacing w:line="360" w:lineRule="auto"/>
        <w:ind w:firstLine="480" w:firstLineChars="200"/>
        <w:rPr>
          <w:b/>
          <w:bCs/>
          <w:sz w:val="44"/>
          <w:szCs w:val="44"/>
        </w:rPr>
      </w:pPr>
      <w:r>
        <w:rPr>
          <w:rFonts w:hint="eastAsia"/>
          <w:sz w:val="24"/>
        </w:rPr>
        <w:br w:type="page"/>
      </w:r>
    </w:p>
    <w:p w14:paraId="1E4C9B21">
      <w:pPr>
        <w:numPr>
          <w:ilvl w:val="0"/>
          <w:numId w:val="6"/>
        </w:numPr>
        <w:spacing w:before="340" w:after="330" w:line="360" w:lineRule="auto"/>
        <w:jc w:val="center"/>
        <w:rPr>
          <w:b/>
          <w:bCs/>
          <w:sz w:val="44"/>
          <w:szCs w:val="44"/>
        </w:rPr>
      </w:pPr>
      <w:r>
        <w:rPr>
          <w:rFonts w:hint="eastAsia"/>
          <w:b/>
          <w:bCs/>
          <w:sz w:val="44"/>
          <w:szCs w:val="44"/>
        </w:rPr>
        <w:t>合同主要条款</w:t>
      </w:r>
    </w:p>
    <w:p w14:paraId="7BE7FEA7">
      <w:pPr>
        <w:spacing w:line="360" w:lineRule="auto"/>
        <w:ind w:firstLine="482" w:firstLineChars="200"/>
        <w:rPr>
          <w:rFonts w:hint="eastAsia" w:asciiTheme="minorEastAsia" w:hAnsiTheme="minorEastAsia" w:cstheme="minorEastAsia"/>
          <w:b/>
          <w:bCs/>
          <w:sz w:val="24"/>
        </w:rPr>
      </w:pPr>
      <w:r>
        <w:rPr>
          <w:rFonts w:hint="eastAsia" w:asciiTheme="minorEastAsia" w:hAnsiTheme="minorEastAsia" w:cstheme="minorEastAsia"/>
          <w:b/>
          <w:bCs/>
          <w:sz w:val="24"/>
        </w:rPr>
        <w:t>一、履行时间（期限）</w:t>
      </w:r>
    </w:p>
    <w:p w14:paraId="0E213951">
      <w:pPr>
        <w:pStyle w:val="14"/>
        <w:spacing w:line="360" w:lineRule="auto"/>
        <w:ind w:firstLine="480" w:firstLineChars="200"/>
        <w:rPr>
          <w:rFonts w:hint="eastAsia" w:asciiTheme="minorEastAsia" w:hAnsiTheme="minorEastAsia" w:cstheme="minorEastAsia"/>
          <w:sz w:val="24"/>
          <w:szCs w:val="24"/>
          <w:lang w:val="en-US"/>
        </w:rPr>
      </w:pPr>
      <w:r>
        <w:rPr>
          <w:rFonts w:hint="eastAsia" w:asciiTheme="minorEastAsia" w:hAnsiTheme="minorEastAsia" w:cstheme="minorEastAsia"/>
          <w:sz w:val="24"/>
          <w:szCs w:val="24"/>
          <w:lang w:val="en-US"/>
        </w:rPr>
        <w:t>合同签订后30个工作日内完成软件交付</w:t>
      </w:r>
    </w:p>
    <w:p w14:paraId="2BA09A97">
      <w:pPr>
        <w:spacing w:line="360" w:lineRule="auto"/>
        <w:ind w:firstLine="482" w:firstLineChars="200"/>
        <w:rPr>
          <w:rFonts w:hint="eastAsia" w:asciiTheme="minorEastAsia" w:hAnsiTheme="minorEastAsia" w:cstheme="minorEastAsia"/>
          <w:b/>
          <w:bCs/>
          <w:sz w:val="24"/>
        </w:rPr>
      </w:pPr>
      <w:r>
        <w:rPr>
          <w:rFonts w:hint="eastAsia" w:asciiTheme="minorEastAsia" w:hAnsiTheme="minorEastAsia" w:cstheme="minorEastAsia"/>
          <w:b/>
          <w:bCs/>
          <w:sz w:val="24"/>
        </w:rPr>
        <w:t>二、地点和方式</w:t>
      </w:r>
    </w:p>
    <w:p w14:paraId="4B57553E">
      <w:pPr>
        <w:pStyle w:val="14"/>
        <w:spacing w:line="360" w:lineRule="auto"/>
        <w:ind w:firstLine="480" w:firstLineChars="200"/>
        <w:rPr>
          <w:rFonts w:hint="eastAsia" w:asciiTheme="minorEastAsia" w:hAnsiTheme="minorEastAsia" w:cstheme="minorEastAsia"/>
          <w:sz w:val="24"/>
          <w:szCs w:val="24"/>
          <w:lang w:val="en-US"/>
        </w:rPr>
      </w:pPr>
      <w:r>
        <w:rPr>
          <w:rFonts w:hint="eastAsia" w:asciiTheme="minorEastAsia" w:hAnsiTheme="minorEastAsia" w:cstheme="minorEastAsia"/>
          <w:sz w:val="24"/>
          <w:szCs w:val="24"/>
          <w:lang w:val="en-US"/>
        </w:rPr>
        <w:t>交付地点：江南大学蠡湖校区</w:t>
      </w:r>
    </w:p>
    <w:p w14:paraId="706E02D0">
      <w:pPr>
        <w:pStyle w:val="14"/>
        <w:spacing w:line="360" w:lineRule="auto"/>
        <w:ind w:firstLine="480" w:firstLineChars="200"/>
        <w:rPr>
          <w:rFonts w:hint="eastAsia" w:asciiTheme="minorEastAsia" w:hAnsiTheme="minorEastAsia" w:cstheme="minorEastAsia"/>
          <w:sz w:val="24"/>
          <w:szCs w:val="24"/>
          <w:lang w:val="en-US"/>
        </w:rPr>
      </w:pPr>
      <w:r>
        <w:rPr>
          <w:rFonts w:hint="eastAsia" w:asciiTheme="minorEastAsia" w:hAnsiTheme="minorEastAsia" w:cstheme="minorEastAsia"/>
          <w:sz w:val="24"/>
          <w:szCs w:val="24"/>
          <w:lang w:val="en-US"/>
        </w:rPr>
        <w:t>部署方式：校内本地部署</w:t>
      </w:r>
    </w:p>
    <w:p w14:paraId="476ED6DB">
      <w:pPr>
        <w:numPr>
          <w:ilvl w:val="0"/>
          <w:numId w:val="13"/>
        </w:numPr>
        <w:spacing w:line="360" w:lineRule="auto"/>
        <w:ind w:firstLine="482" w:firstLineChars="200"/>
        <w:rPr>
          <w:rFonts w:hint="eastAsia" w:asciiTheme="minorEastAsia" w:hAnsiTheme="minorEastAsia" w:cstheme="minorEastAsia"/>
          <w:b/>
          <w:bCs/>
          <w:sz w:val="24"/>
        </w:rPr>
      </w:pPr>
      <w:r>
        <w:rPr>
          <w:rFonts w:hint="eastAsia" w:asciiTheme="minorEastAsia" w:hAnsiTheme="minorEastAsia" w:cstheme="minorEastAsia"/>
          <w:b/>
          <w:bCs/>
          <w:sz w:val="24"/>
        </w:rPr>
        <w:t>付款条件（进度和方式）</w:t>
      </w:r>
    </w:p>
    <w:p w14:paraId="02355B9D">
      <w:pPr>
        <w:adjustRightInd w:val="0"/>
        <w:snapToGrid w:val="0"/>
        <w:spacing w:line="360" w:lineRule="auto"/>
        <w:ind w:firstLine="480" w:firstLineChars="200"/>
        <w:rPr>
          <w:rFonts w:hint="eastAsia" w:asciiTheme="minorEastAsia" w:hAnsiTheme="minorEastAsia" w:cstheme="minorEastAsia"/>
          <w:b/>
          <w:bCs/>
          <w:sz w:val="24"/>
        </w:rPr>
      </w:pPr>
      <w:r>
        <w:rPr>
          <w:rFonts w:hint="eastAsia"/>
          <w:sz w:val="24"/>
        </w:rPr>
        <w:t>1.</w:t>
      </w:r>
      <w:r>
        <w:rPr>
          <w:sz w:val="24"/>
        </w:rPr>
        <w:t>由甲方名下银行账户汇至本合同中乙方指定的银行账号；</w:t>
      </w:r>
      <w:r>
        <w:rPr>
          <w:rFonts w:hint="eastAsia"/>
          <w:sz w:val="24"/>
        </w:rPr>
        <w:t>甲方付款前乙方应向甲方开具合格发票，否则甲方有权拒绝付款且不构成违约。</w:t>
      </w:r>
    </w:p>
    <w:p w14:paraId="54085786">
      <w:pPr>
        <w:pStyle w:val="14"/>
        <w:spacing w:line="360" w:lineRule="auto"/>
        <w:ind w:firstLine="480" w:firstLineChars="200"/>
        <w:rPr>
          <w:rFonts w:hint="eastAsia" w:asciiTheme="minorEastAsia" w:hAnsiTheme="minorEastAsia" w:cstheme="minorEastAsia"/>
          <w:sz w:val="24"/>
          <w:szCs w:val="24"/>
          <w:lang w:val="en-US"/>
        </w:rPr>
      </w:pPr>
      <w:r>
        <w:rPr>
          <w:rFonts w:hint="eastAsia" w:asciiTheme="minorEastAsia" w:hAnsiTheme="minorEastAsia" w:cstheme="minorEastAsia"/>
          <w:sz w:val="24"/>
          <w:szCs w:val="24"/>
          <w:lang w:val="en-US"/>
        </w:rPr>
        <w:t>2.系统部署完成后，乙方向甲方支付合同总费用的50%，作为项目项目进度和信息安全保证金，甲方向乙方支付合同全额费用。</w:t>
      </w:r>
    </w:p>
    <w:p w14:paraId="5F128014">
      <w:pPr>
        <w:pStyle w:val="14"/>
        <w:spacing w:line="360" w:lineRule="auto"/>
        <w:ind w:firstLine="480" w:firstLineChars="200"/>
        <w:rPr>
          <w:rFonts w:hint="eastAsia" w:asciiTheme="minorEastAsia" w:hAnsiTheme="minorEastAsia" w:cstheme="minorEastAsia"/>
          <w:sz w:val="24"/>
          <w:szCs w:val="24"/>
          <w:lang w:val="en-US"/>
        </w:rPr>
      </w:pPr>
      <w:r>
        <w:rPr>
          <w:rFonts w:hint="eastAsia" w:asciiTheme="minorEastAsia" w:hAnsiTheme="minorEastAsia" w:cstheme="minorEastAsia"/>
          <w:sz w:val="24"/>
          <w:szCs w:val="24"/>
          <w:lang w:val="en-US"/>
        </w:rPr>
        <w:t>3.项目验收合格后，甲方向乙方无息全额退还项目进度和信息安全保证金。</w:t>
      </w:r>
    </w:p>
    <w:p w14:paraId="63C86C49">
      <w:pPr>
        <w:pStyle w:val="14"/>
        <w:spacing w:line="360" w:lineRule="auto"/>
        <w:ind w:firstLine="480" w:firstLineChars="200"/>
        <w:rPr>
          <w:rFonts w:hint="eastAsia" w:asciiTheme="minorEastAsia" w:hAnsiTheme="minorEastAsia" w:cstheme="minorEastAsia"/>
          <w:sz w:val="24"/>
          <w:szCs w:val="24"/>
          <w:lang w:val="en-US"/>
        </w:rPr>
      </w:pPr>
    </w:p>
    <w:p w14:paraId="1AEF1160">
      <w:pPr>
        <w:pStyle w:val="6"/>
      </w:pPr>
    </w:p>
    <w:p w14:paraId="607A5615">
      <w:pPr>
        <w:rPr>
          <w:rFonts w:hint="eastAsia" w:asciiTheme="minorEastAsia" w:hAnsiTheme="minorEastAsia"/>
          <w:sz w:val="44"/>
          <w:szCs w:val="44"/>
        </w:rPr>
      </w:pPr>
      <w:bookmarkStart w:id="10" w:name="_Toc498632778"/>
      <w:bookmarkStart w:id="11" w:name="_Toc511029427"/>
      <w:r>
        <w:rPr>
          <w:rFonts w:hint="eastAsia" w:asciiTheme="minorEastAsia" w:hAnsiTheme="minorEastAsia"/>
          <w:sz w:val="44"/>
          <w:szCs w:val="44"/>
        </w:rPr>
        <w:br w:type="page"/>
      </w:r>
    </w:p>
    <w:p w14:paraId="50454509">
      <w:pPr>
        <w:pStyle w:val="3"/>
        <w:spacing w:before="340" w:after="330" w:line="360" w:lineRule="auto"/>
        <w:jc w:val="center"/>
        <w:rPr>
          <w:rFonts w:hint="eastAsia" w:asciiTheme="minorEastAsia" w:hAnsiTheme="minorEastAsia"/>
          <w:b w:val="0"/>
          <w:bCs w:val="0"/>
        </w:rPr>
      </w:pPr>
      <w:r>
        <w:rPr>
          <w:rFonts w:hint="eastAsia" w:asciiTheme="minorEastAsia" w:hAnsiTheme="minorEastAsia"/>
          <w:sz w:val="44"/>
          <w:szCs w:val="44"/>
        </w:rPr>
        <w:t>第五部分 附件</w:t>
      </w:r>
    </w:p>
    <w:bookmarkEnd w:id="10"/>
    <w:bookmarkEnd w:id="11"/>
    <w:p w14:paraId="0C764935">
      <w:pPr>
        <w:spacing w:line="360" w:lineRule="auto"/>
        <w:rPr>
          <w:rFonts w:hint="eastAsia" w:ascii="宋体" w:hAnsi="宋体"/>
          <w:spacing w:val="4"/>
          <w:sz w:val="24"/>
        </w:rPr>
      </w:pPr>
      <w:bookmarkStart w:id="12" w:name="_Toc498612484"/>
      <w:r>
        <w:rPr>
          <w:rFonts w:hint="eastAsia" w:ascii="宋体" w:hAnsi="宋体"/>
          <w:spacing w:val="4"/>
          <w:sz w:val="24"/>
        </w:rPr>
        <w:t>附件1：报名投标确认函</w:t>
      </w:r>
    </w:p>
    <w:p w14:paraId="30E32F0D">
      <w:pPr>
        <w:spacing w:line="360" w:lineRule="auto"/>
        <w:rPr>
          <w:rFonts w:hint="eastAsia" w:ascii="宋体" w:hAnsi="宋体"/>
          <w:spacing w:val="4"/>
          <w:sz w:val="24"/>
        </w:rPr>
      </w:pPr>
      <w:r>
        <w:rPr>
          <w:rFonts w:hint="eastAsia" w:ascii="宋体" w:hAnsi="宋体"/>
          <w:spacing w:val="4"/>
          <w:sz w:val="24"/>
        </w:rPr>
        <w:t>附件2：投标函</w:t>
      </w:r>
    </w:p>
    <w:p w14:paraId="1690D36D">
      <w:pPr>
        <w:spacing w:line="360" w:lineRule="auto"/>
        <w:rPr>
          <w:rFonts w:hint="eastAsia" w:ascii="宋体" w:hAnsi="宋体"/>
          <w:spacing w:val="4"/>
          <w:sz w:val="24"/>
        </w:rPr>
      </w:pPr>
      <w:r>
        <w:rPr>
          <w:rFonts w:hint="eastAsia" w:ascii="宋体" w:hAnsi="宋体"/>
          <w:spacing w:val="4"/>
          <w:sz w:val="24"/>
        </w:rPr>
        <w:t>附件3：项目清单及分项报价表</w:t>
      </w:r>
    </w:p>
    <w:p w14:paraId="4D0BBDEF">
      <w:pPr>
        <w:spacing w:line="360" w:lineRule="auto"/>
        <w:rPr>
          <w:rFonts w:hint="eastAsia" w:ascii="宋体" w:hAnsi="宋体"/>
          <w:sz w:val="24"/>
        </w:rPr>
      </w:pPr>
      <w:r>
        <w:rPr>
          <w:rFonts w:hint="eastAsia" w:ascii="宋体" w:hAnsi="宋体"/>
          <w:spacing w:val="4"/>
          <w:sz w:val="24"/>
        </w:rPr>
        <w:t>附件4：技术规格响应/偏</w:t>
      </w:r>
      <w:r>
        <w:rPr>
          <w:rFonts w:hint="eastAsia" w:ascii="宋体" w:hAnsi="宋体"/>
          <w:sz w:val="24"/>
        </w:rPr>
        <w:t>离表</w:t>
      </w:r>
    </w:p>
    <w:p w14:paraId="568262A6">
      <w:pPr>
        <w:spacing w:line="360" w:lineRule="auto"/>
        <w:rPr>
          <w:rFonts w:hint="eastAsia" w:ascii="宋体" w:hAnsi="宋体"/>
          <w:spacing w:val="4"/>
          <w:sz w:val="24"/>
        </w:rPr>
      </w:pPr>
      <w:r>
        <w:rPr>
          <w:rFonts w:hint="eastAsia" w:ascii="宋体" w:hAnsi="宋体"/>
          <w:spacing w:val="4"/>
          <w:sz w:val="24"/>
        </w:rPr>
        <w:t>附件5：供应商投标授权书</w:t>
      </w:r>
    </w:p>
    <w:p w14:paraId="630F5890">
      <w:pPr>
        <w:spacing w:line="360" w:lineRule="auto"/>
        <w:rPr>
          <w:rFonts w:hint="eastAsia" w:ascii="宋体" w:hAnsi="宋体"/>
          <w:spacing w:val="4"/>
          <w:sz w:val="24"/>
        </w:rPr>
      </w:pPr>
      <w:r>
        <w:rPr>
          <w:rFonts w:hint="eastAsia" w:ascii="宋体" w:hAnsi="宋体"/>
          <w:spacing w:val="4"/>
          <w:sz w:val="24"/>
        </w:rPr>
        <w:t>附件6：信息化项目校内分散采购承诺书</w:t>
      </w:r>
    </w:p>
    <w:p w14:paraId="5EC5797B">
      <w:pPr>
        <w:spacing w:after="156" w:afterLines="50"/>
        <w:rPr>
          <w:sz w:val="52"/>
          <w:szCs w:val="52"/>
        </w:rPr>
      </w:pPr>
    </w:p>
    <w:p w14:paraId="58D25679">
      <w:pPr>
        <w:rPr>
          <w:rFonts w:hint="eastAsia" w:ascii="宋体" w:hAnsi="宋体"/>
          <w:szCs w:val="21"/>
        </w:rPr>
      </w:pPr>
      <w:bookmarkStart w:id="13" w:name="_Toc2461"/>
    </w:p>
    <w:p w14:paraId="184C444A">
      <w:pPr>
        <w:rPr>
          <w:rFonts w:hint="eastAsia" w:ascii="宋体" w:hAnsi="宋体"/>
          <w:szCs w:val="21"/>
        </w:rPr>
      </w:pPr>
    </w:p>
    <w:p w14:paraId="40E486AD">
      <w:pPr>
        <w:rPr>
          <w:rFonts w:hint="eastAsia" w:ascii="宋体" w:hAnsi="宋体"/>
          <w:szCs w:val="21"/>
        </w:rPr>
      </w:pPr>
    </w:p>
    <w:p w14:paraId="1A0F72BE">
      <w:pPr>
        <w:rPr>
          <w:rFonts w:hint="eastAsia" w:ascii="宋体" w:hAnsi="宋体"/>
          <w:szCs w:val="21"/>
        </w:rPr>
      </w:pPr>
    </w:p>
    <w:p w14:paraId="5DB198F8">
      <w:pPr>
        <w:rPr>
          <w:rFonts w:hint="eastAsia" w:ascii="宋体" w:hAnsi="宋体"/>
          <w:szCs w:val="21"/>
        </w:rPr>
      </w:pPr>
    </w:p>
    <w:p w14:paraId="014659E9">
      <w:pPr>
        <w:rPr>
          <w:rFonts w:hint="eastAsia" w:ascii="宋体" w:hAnsi="宋体"/>
          <w:szCs w:val="21"/>
        </w:rPr>
      </w:pPr>
    </w:p>
    <w:p w14:paraId="02F3DDC5">
      <w:pPr>
        <w:rPr>
          <w:rFonts w:hint="eastAsia" w:ascii="宋体" w:hAnsi="宋体"/>
          <w:szCs w:val="21"/>
        </w:rPr>
      </w:pPr>
    </w:p>
    <w:p w14:paraId="608F82CA">
      <w:pPr>
        <w:rPr>
          <w:rFonts w:hint="eastAsia" w:ascii="宋体" w:hAnsi="宋体"/>
          <w:szCs w:val="21"/>
        </w:rPr>
      </w:pPr>
    </w:p>
    <w:p w14:paraId="7C997BDF">
      <w:pPr>
        <w:rPr>
          <w:rFonts w:hint="eastAsia" w:ascii="宋体" w:hAnsi="宋体"/>
          <w:szCs w:val="21"/>
        </w:rPr>
      </w:pPr>
    </w:p>
    <w:p w14:paraId="27320E9A">
      <w:pPr>
        <w:rPr>
          <w:rFonts w:hint="eastAsia" w:ascii="宋体" w:hAnsi="宋体"/>
          <w:szCs w:val="21"/>
        </w:rPr>
      </w:pPr>
    </w:p>
    <w:p w14:paraId="4666F5B3">
      <w:pPr>
        <w:rPr>
          <w:rFonts w:hint="eastAsia" w:ascii="宋体" w:hAnsi="宋体"/>
          <w:szCs w:val="21"/>
        </w:rPr>
      </w:pPr>
    </w:p>
    <w:p w14:paraId="76ECA000">
      <w:pPr>
        <w:rPr>
          <w:rFonts w:hint="eastAsia" w:ascii="宋体" w:hAnsi="宋体"/>
          <w:szCs w:val="21"/>
        </w:rPr>
      </w:pPr>
    </w:p>
    <w:p w14:paraId="6EC3273E">
      <w:pPr>
        <w:rPr>
          <w:rFonts w:hint="eastAsia" w:ascii="宋体" w:hAnsi="宋体"/>
          <w:szCs w:val="21"/>
        </w:rPr>
      </w:pPr>
    </w:p>
    <w:p w14:paraId="4FC5707B">
      <w:pPr>
        <w:rPr>
          <w:rFonts w:hint="eastAsia" w:ascii="宋体" w:hAnsi="宋体"/>
          <w:szCs w:val="21"/>
        </w:rPr>
      </w:pPr>
    </w:p>
    <w:p w14:paraId="6478FB5E">
      <w:pPr>
        <w:rPr>
          <w:rFonts w:hint="eastAsia" w:ascii="宋体" w:hAnsi="宋体"/>
          <w:szCs w:val="21"/>
        </w:rPr>
      </w:pPr>
    </w:p>
    <w:p w14:paraId="10503971"/>
    <w:p w14:paraId="70B853ED">
      <w:pPr>
        <w:rPr>
          <w:rFonts w:hint="eastAsia" w:ascii="宋体" w:hAnsi="宋体"/>
          <w:szCs w:val="21"/>
        </w:rPr>
      </w:pPr>
    </w:p>
    <w:p w14:paraId="6A78ADEC">
      <w:pPr>
        <w:rPr>
          <w:rFonts w:hint="eastAsia" w:ascii="宋体" w:hAnsi="宋体"/>
          <w:szCs w:val="21"/>
        </w:rPr>
      </w:pPr>
    </w:p>
    <w:p w14:paraId="32B51645">
      <w:pPr>
        <w:rPr>
          <w:rFonts w:hint="eastAsia" w:ascii="宋体" w:hAnsi="宋体"/>
          <w:szCs w:val="21"/>
        </w:rPr>
      </w:pPr>
      <w:r>
        <w:rPr>
          <w:rFonts w:ascii="宋体" w:hAnsi="宋体"/>
          <w:szCs w:val="21"/>
        </w:rPr>
        <w:br w:type="page"/>
      </w:r>
    </w:p>
    <w:p w14:paraId="68241F3E">
      <w:pPr>
        <w:pStyle w:val="3"/>
        <w:spacing w:before="0" w:after="0" w:line="360" w:lineRule="auto"/>
        <w:rPr>
          <w:rStyle w:val="36"/>
          <w:rFonts w:hint="eastAsia"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14:paraId="4CCF86FB">
      <w:pPr>
        <w:spacing w:before="312" w:beforeLines="100" w:after="312" w:afterLines="100" w:line="360" w:lineRule="auto"/>
        <w:jc w:val="center"/>
        <w:rPr>
          <w:rFonts w:hint="eastAsia" w:ascii="宋体" w:hAnsi="宋体"/>
          <w:sz w:val="48"/>
          <w:szCs w:val="48"/>
        </w:rPr>
      </w:pPr>
      <w:r>
        <w:rPr>
          <w:rFonts w:hint="eastAsia" w:ascii="宋体" w:hAnsi="宋体"/>
          <w:sz w:val="48"/>
          <w:szCs w:val="48"/>
        </w:rPr>
        <w:t>报名投标确认函</w:t>
      </w:r>
    </w:p>
    <w:p w14:paraId="507A35E1">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7B71EBC0">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5C6E1DFC">
      <w:pPr>
        <w:spacing w:line="360" w:lineRule="auto"/>
        <w:ind w:firstLine="480" w:firstLineChars="200"/>
        <w:rPr>
          <w:sz w:val="24"/>
        </w:rPr>
      </w:pPr>
    </w:p>
    <w:p w14:paraId="0781227E">
      <w:pPr>
        <w:spacing w:after="156" w:afterLines="50" w:line="360" w:lineRule="auto"/>
        <w:jc w:val="center"/>
        <w:rPr>
          <w:rFonts w:hint="eastAsia" w:ascii="宋体" w:hAnsi="宋体"/>
          <w:b/>
          <w:sz w:val="36"/>
          <w:szCs w:val="36"/>
        </w:rPr>
      </w:pPr>
      <w:r>
        <w:rPr>
          <w:rFonts w:hint="eastAsia" w:ascii="宋体" w:hAnsi="宋体"/>
          <w:b/>
          <w:sz w:val="36"/>
          <w:szCs w:val="36"/>
        </w:rPr>
        <w:t>投标相关信息</w:t>
      </w:r>
    </w:p>
    <w:tbl>
      <w:tblPr>
        <w:tblStyle w:val="19"/>
        <w:tblW w:w="9521" w:type="dxa"/>
        <w:jc w:val="center"/>
        <w:tblLayout w:type="autofit"/>
        <w:tblCellMar>
          <w:top w:w="0" w:type="dxa"/>
          <w:left w:w="108" w:type="dxa"/>
          <w:bottom w:w="0" w:type="dxa"/>
          <w:right w:w="108" w:type="dxa"/>
        </w:tblCellMar>
      </w:tblPr>
      <w:tblGrid>
        <w:gridCol w:w="2182"/>
        <w:gridCol w:w="3129"/>
        <w:gridCol w:w="1763"/>
        <w:gridCol w:w="2447"/>
      </w:tblGrid>
      <w:tr w14:paraId="2FACC410">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014FC5E">
            <w:pPr>
              <w:widowControl/>
              <w:jc w:val="center"/>
              <w:rPr>
                <w:rFonts w:hint="eastAsia"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022454A">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DC908FD">
            <w:pPr>
              <w:widowControl/>
              <w:jc w:val="center"/>
              <w:rPr>
                <w:rFonts w:hint="eastAsia"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246AC8F9">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6A8CCD23">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11EA57DB">
            <w:pPr>
              <w:widowControl/>
              <w:jc w:val="center"/>
              <w:rPr>
                <w:rFonts w:hint="eastAsia"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66392F51">
            <w:pPr>
              <w:widowControl/>
              <w:jc w:val="center"/>
              <w:rPr>
                <w:rFonts w:hint="eastAsia"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3AD9308F">
            <w:pPr>
              <w:widowControl/>
              <w:jc w:val="center"/>
              <w:rPr>
                <w:rFonts w:hint="eastAsia"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3928BAA3">
            <w:pPr>
              <w:widowControl/>
              <w:jc w:val="center"/>
              <w:rPr>
                <w:rFonts w:hint="eastAsia" w:ascii="宋体" w:hAnsi="宋体" w:cs="宋体"/>
                <w:kern w:val="0"/>
                <w:sz w:val="22"/>
                <w:szCs w:val="22"/>
              </w:rPr>
            </w:pPr>
          </w:p>
        </w:tc>
      </w:tr>
      <w:tr w14:paraId="76A498A1">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36A6B452">
            <w:pPr>
              <w:widowControl/>
              <w:jc w:val="center"/>
              <w:rPr>
                <w:rFonts w:hint="eastAsia"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34608A40">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4DEE5C73">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3806176">
            <w:pPr>
              <w:widowControl/>
              <w:jc w:val="center"/>
              <w:rPr>
                <w:rFonts w:hint="eastAsia"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F27A0D8">
            <w:pPr>
              <w:widowControl/>
              <w:jc w:val="center"/>
              <w:rPr>
                <w:rFonts w:hint="eastAsia"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7E52420D">
            <w:pPr>
              <w:widowControl/>
              <w:jc w:val="center"/>
              <w:rPr>
                <w:rFonts w:hint="eastAsia"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34BCE6C8">
            <w:pPr>
              <w:widowControl/>
              <w:jc w:val="center"/>
              <w:rPr>
                <w:rFonts w:hint="eastAsia" w:ascii="宋体" w:hAnsi="宋体" w:cs="宋体"/>
                <w:kern w:val="0"/>
                <w:sz w:val="22"/>
                <w:szCs w:val="22"/>
              </w:rPr>
            </w:pPr>
          </w:p>
        </w:tc>
      </w:tr>
      <w:tr w14:paraId="21A871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4C5D80CB">
            <w:pPr>
              <w:widowControl/>
              <w:jc w:val="center"/>
              <w:rPr>
                <w:rFonts w:hint="eastAsia"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3A22BD7E">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61CC6B21">
            <w:pPr>
              <w:widowControl/>
              <w:jc w:val="center"/>
              <w:rPr>
                <w:rFonts w:hint="eastAsia" w:ascii="宋体" w:hAnsi="宋体" w:cs="宋体"/>
                <w:kern w:val="0"/>
                <w:sz w:val="24"/>
              </w:rPr>
            </w:pPr>
            <w:r>
              <w:rPr>
                <w:rFonts w:hint="eastAsia" w:ascii="宋体" w:hAnsi="宋体" w:cs="宋体"/>
                <w:kern w:val="0"/>
                <w:sz w:val="24"/>
              </w:rPr>
              <w:t>e-mail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7A36C174">
            <w:pPr>
              <w:widowControl/>
              <w:jc w:val="center"/>
              <w:rPr>
                <w:rFonts w:hint="eastAsia" w:ascii="宋体" w:hAnsi="宋体" w:cs="宋体"/>
                <w:kern w:val="0"/>
                <w:sz w:val="22"/>
                <w:szCs w:val="22"/>
              </w:rPr>
            </w:pPr>
            <w:r>
              <w:rPr>
                <w:rFonts w:hint="eastAsia" w:ascii="宋体" w:hAnsi="宋体" w:cs="宋体"/>
                <w:kern w:val="0"/>
                <w:sz w:val="22"/>
                <w:szCs w:val="22"/>
              </w:rPr>
              <w:t>　</w:t>
            </w:r>
          </w:p>
        </w:tc>
      </w:tr>
      <w:tr w14:paraId="5BEF2336">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561C1C4E">
            <w:pPr>
              <w:widowControl/>
              <w:jc w:val="center"/>
              <w:rPr>
                <w:rFonts w:hint="eastAsia"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F76CEFB">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直接送至谈判现场</w:t>
            </w:r>
          </w:p>
        </w:tc>
      </w:tr>
    </w:tbl>
    <w:p w14:paraId="0026B905">
      <w:pPr>
        <w:spacing w:before="156" w:beforeLines="50" w:after="156" w:afterLines="50" w:line="360" w:lineRule="auto"/>
        <w:ind w:firstLine="6840" w:firstLineChars="2850"/>
        <w:rPr>
          <w:rFonts w:hint="eastAsia"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6894A598">
      <w:pPr>
        <w:spacing w:line="360" w:lineRule="auto"/>
        <w:ind w:firstLine="480" w:firstLineChars="200"/>
        <w:jc w:val="left"/>
        <w:rPr>
          <w:rFonts w:hint="eastAsia"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5"/>
          <w:rFonts w:hint="eastAsia" w:ascii="宋体" w:hAnsi="宋体"/>
          <w:color w:val="auto"/>
          <w:sz w:val="24"/>
        </w:rPr>
        <w:t>发送至</w:t>
      </w:r>
      <w:r>
        <w:rPr>
          <w:rFonts w:hint="eastAsia" w:ascii="宋体" w:hAnsi="宋体" w:cs="宋体"/>
          <w:sz w:val="24"/>
          <w:u w:val="single"/>
        </w:rPr>
        <w:t>xxhxmcg@jiangnan.edu.cn</w:t>
      </w:r>
      <w:r>
        <w:rPr>
          <w:rFonts w:hint="eastAsia" w:ascii="宋体" w:hAnsi="宋体" w:cs="宋体"/>
          <w:sz w:val="24"/>
          <w:u w:val="single"/>
        </w:rPr>
        <w:fldChar w:fldCharType="end"/>
      </w:r>
      <w:r>
        <w:rPr>
          <w:rFonts w:hint="eastAsia" w:ascii="宋体" w:hAnsi="宋体"/>
          <w:sz w:val="24"/>
        </w:rPr>
        <w:t>。</w:t>
      </w:r>
    </w:p>
    <w:p w14:paraId="29A19B94">
      <w:pPr>
        <w:spacing w:line="360" w:lineRule="auto"/>
        <w:jc w:val="left"/>
        <w:rPr>
          <w:rFonts w:hint="eastAsia" w:ascii="宋体" w:hAnsi="宋体"/>
          <w:spacing w:val="2"/>
          <w:sz w:val="24"/>
        </w:rPr>
      </w:pPr>
    </w:p>
    <w:p w14:paraId="37DA3915">
      <w:pPr>
        <w:spacing w:line="360" w:lineRule="auto"/>
        <w:ind w:firstLine="488" w:firstLineChars="200"/>
        <w:jc w:val="left"/>
        <w:rPr>
          <w:rFonts w:hint="eastAsia" w:ascii="宋体" w:hAnsi="宋体"/>
        </w:rPr>
      </w:pPr>
      <w:r>
        <w:rPr>
          <w:rFonts w:hint="eastAsia" w:ascii="宋体" w:hAnsi="宋体"/>
          <w:spacing w:val="2"/>
          <w:sz w:val="24"/>
        </w:rPr>
        <w:t>本</w:t>
      </w:r>
      <w:r>
        <w:rPr>
          <w:rFonts w:hint="eastAsia" w:ascii="宋体" w:hAnsi="宋体"/>
          <w:sz w:val="24"/>
        </w:rPr>
        <w:t>确认函不需装入投标文件中。</w:t>
      </w:r>
    </w:p>
    <w:bookmarkEnd w:id="14"/>
    <w:p w14:paraId="49CCBCEF">
      <w:pPr>
        <w:spacing w:after="156" w:afterLines="50"/>
        <w:rPr>
          <w:sz w:val="52"/>
          <w:szCs w:val="52"/>
        </w:rPr>
      </w:pPr>
    </w:p>
    <w:p w14:paraId="4E7902A7">
      <w:pPr>
        <w:pStyle w:val="3"/>
        <w:spacing w:before="0" w:after="0" w:line="360" w:lineRule="auto"/>
        <w:rPr>
          <w:rFonts w:hint="eastAsia" w:ascii="宋体" w:hAnsi="宋体"/>
          <w:b w:val="0"/>
          <w:sz w:val="21"/>
          <w:szCs w:val="21"/>
        </w:rPr>
      </w:pPr>
      <w:bookmarkStart w:id="15" w:name="_Toc511743426"/>
      <w:bookmarkStart w:id="16" w:name="_Toc24606"/>
    </w:p>
    <w:p w14:paraId="136794BE">
      <w:pPr>
        <w:rPr>
          <w:rFonts w:hint="eastAsia" w:ascii="宋体" w:hAnsi="宋体"/>
          <w:szCs w:val="21"/>
        </w:rPr>
      </w:pPr>
      <w:r>
        <w:rPr>
          <w:rFonts w:ascii="宋体" w:hAnsi="宋体"/>
          <w:szCs w:val="21"/>
        </w:rPr>
        <w:br w:type="page"/>
      </w:r>
    </w:p>
    <w:p w14:paraId="07C1E8DC">
      <w:pPr>
        <w:pStyle w:val="3"/>
        <w:spacing w:before="0" w:after="0" w:line="360" w:lineRule="auto"/>
        <w:rPr>
          <w:rFonts w:hint="eastAsia" w:ascii="宋体" w:hAnsi="宋体"/>
          <w:b w:val="0"/>
          <w:sz w:val="24"/>
          <w:szCs w:val="24"/>
        </w:rPr>
      </w:pPr>
      <w:r>
        <w:rPr>
          <w:rFonts w:hint="eastAsia" w:ascii="宋体" w:hAnsi="宋体"/>
          <w:b w:val="0"/>
          <w:sz w:val="24"/>
          <w:szCs w:val="24"/>
        </w:rPr>
        <w:t>附件2：投标函</w:t>
      </w:r>
      <w:bookmarkEnd w:id="15"/>
      <w:bookmarkEnd w:id="16"/>
    </w:p>
    <w:p w14:paraId="350EFD5D">
      <w:pPr>
        <w:spacing w:after="156" w:afterLines="50"/>
        <w:jc w:val="center"/>
        <w:rPr>
          <w:rFonts w:hint="eastAsia" w:ascii="宋体" w:hAnsi="宋体" w:cs="宋体"/>
          <w:sz w:val="52"/>
          <w:szCs w:val="52"/>
        </w:rPr>
      </w:pPr>
      <w:r>
        <w:rPr>
          <w:rFonts w:hint="eastAsia" w:ascii="宋体" w:hAnsi="宋体" w:cs="宋体"/>
          <w:sz w:val="52"/>
          <w:szCs w:val="52"/>
        </w:rPr>
        <w:t>投   标   函</w:t>
      </w:r>
    </w:p>
    <w:p w14:paraId="1B1AB087">
      <w:pPr>
        <w:spacing w:line="360" w:lineRule="auto"/>
        <w:rPr>
          <w:rFonts w:hint="eastAsia"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69F2F96A">
      <w:pPr>
        <w:spacing w:line="360" w:lineRule="auto"/>
        <w:ind w:left="1" w:firstLine="564" w:firstLineChars="235"/>
        <w:rPr>
          <w:rFonts w:hint="eastAsia"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29575790">
      <w:pPr>
        <w:spacing w:line="360" w:lineRule="auto"/>
        <w:ind w:firstLine="480" w:firstLineChars="200"/>
        <w:rPr>
          <w:rFonts w:hint="eastAsia"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6C6F30D">
      <w:pPr>
        <w:spacing w:line="360" w:lineRule="auto"/>
        <w:ind w:firstLine="480" w:firstLineChars="200"/>
        <w:rPr>
          <w:rFonts w:hint="eastAsia" w:ascii="宋体" w:hAnsi="宋体" w:cs="宋体"/>
          <w:sz w:val="24"/>
        </w:rPr>
      </w:pPr>
      <w:r>
        <w:rPr>
          <w:rFonts w:hint="eastAsia" w:ascii="宋体" w:hAnsi="宋体" w:cs="宋体"/>
          <w:sz w:val="24"/>
        </w:rPr>
        <w:t>2、我方在参加本招标项目前三年内在生产经营活动中没有重大违法记录。</w:t>
      </w:r>
    </w:p>
    <w:p w14:paraId="6966F4FD">
      <w:pPr>
        <w:spacing w:line="360" w:lineRule="auto"/>
        <w:ind w:firstLine="480" w:firstLineChars="200"/>
        <w:rPr>
          <w:rFonts w:hint="eastAsia" w:ascii="宋体" w:hAnsi="宋体" w:cs="宋体"/>
          <w:sz w:val="24"/>
        </w:rPr>
      </w:pPr>
      <w:r>
        <w:rPr>
          <w:rFonts w:hint="eastAsia" w:ascii="宋体" w:hAnsi="宋体" w:cs="宋体"/>
          <w:sz w:val="24"/>
        </w:rPr>
        <w:t>3、我方与本采购项目及该项目相关人员之间均不存在可能影响招标公正性的任何利害关系。</w:t>
      </w:r>
    </w:p>
    <w:p w14:paraId="2DD181C0">
      <w:pPr>
        <w:tabs>
          <w:tab w:val="left" w:pos="420"/>
          <w:tab w:val="left" w:pos="525"/>
          <w:tab w:val="left" w:pos="945"/>
        </w:tabs>
        <w:spacing w:line="360" w:lineRule="auto"/>
        <w:ind w:right="235" w:rightChars="112" w:firstLine="480" w:firstLineChars="200"/>
        <w:rPr>
          <w:rFonts w:hint="eastAsia"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596B758B">
      <w:pPr>
        <w:spacing w:line="360" w:lineRule="auto"/>
        <w:ind w:firstLine="480" w:firstLineChars="200"/>
        <w:rPr>
          <w:rFonts w:hint="eastAsia"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0A894AB0">
      <w:pPr>
        <w:spacing w:line="360" w:lineRule="auto"/>
        <w:ind w:firstLine="480" w:firstLineChars="200"/>
        <w:rPr>
          <w:rFonts w:hint="eastAsia" w:ascii="宋体" w:hAnsi="宋体" w:cs="宋体"/>
          <w:sz w:val="24"/>
        </w:rPr>
      </w:pPr>
      <w:r>
        <w:rPr>
          <w:rFonts w:hint="eastAsia" w:ascii="宋体" w:hAnsi="宋体" w:cs="宋体"/>
          <w:sz w:val="24"/>
        </w:rPr>
        <w:t>6、同意按照采购文件的要求提供所有资料、数据或信息。</w:t>
      </w:r>
    </w:p>
    <w:p w14:paraId="5002F8B6">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1D0C2F7E">
      <w:pPr>
        <w:spacing w:line="360" w:lineRule="auto"/>
        <w:ind w:firstLine="480" w:firstLineChars="200"/>
        <w:rPr>
          <w:rFonts w:hint="eastAsia"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7786B249">
      <w:pPr>
        <w:spacing w:line="360" w:lineRule="auto"/>
        <w:ind w:firstLine="480" w:firstLineChars="200"/>
        <w:rPr>
          <w:rFonts w:hint="eastAsia"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05729F99">
      <w:pPr>
        <w:spacing w:line="360" w:lineRule="auto"/>
        <w:ind w:firstLine="480" w:firstLineChars="200"/>
        <w:rPr>
          <w:rFonts w:hint="eastAsia" w:ascii="宋体" w:hAnsi="宋体" w:cs="宋体"/>
          <w:sz w:val="24"/>
        </w:rPr>
      </w:pPr>
      <w:r>
        <w:rPr>
          <w:rFonts w:hint="eastAsia" w:ascii="宋体" w:hAnsi="宋体" w:cs="宋体"/>
          <w:sz w:val="24"/>
        </w:rPr>
        <w:t>10、与本次招投标有关的事宜请按以下信息联系：</w:t>
      </w:r>
    </w:p>
    <w:p w14:paraId="1961547A">
      <w:pPr>
        <w:spacing w:line="360" w:lineRule="auto"/>
        <w:ind w:firstLine="480" w:firstLineChars="200"/>
        <w:rPr>
          <w:rFonts w:hint="eastAsia" w:ascii="宋体" w:hAnsi="宋体" w:cs="宋体"/>
          <w:sz w:val="24"/>
        </w:rPr>
      </w:pPr>
    </w:p>
    <w:p w14:paraId="45F28005">
      <w:pPr>
        <w:spacing w:line="480" w:lineRule="auto"/>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03262666">
      <w:pPr>
        <w:spacing w:line="48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699BBDB7">
      <w:pPr>
        <w:spacing w:line="480" w:lineRule="auto"/>
        <w:rPr>
          <w:rFonts w:hint="eastAsia"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16CA0B33">
      <w:pPr>
        <w:spacing w:line="480" w:lineRule="auto"/>
        <w:rPr>
          <w:rFonts w:hint="eastAsia"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14:paraId="601C555A">
      <w:pPr>
        <w:spacing w:line="360" w:lineRule="auto"/>
        <w:rPr>
          <w:rFonts w:hint="eastAsia"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3A0355E2">
      <w:pPr>
        <w:pStyle w:val="3"/>
        <w:spacing w:before="0" w:after="0" w:line="360" w:lineRule="auto"/>
        <w:rPr>
          <w:rFonts w:hint="eastAsia"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D028011">
      <w:pPr>
        <w:spacing w:before="312" w:beforeLines="100" w:after="312" w:afterLines="100" w:line="360" w:lineRule="auto"/>
        <w:jc w:val="center"/>
        <w:rPr>
          <w:rFonts w:hint="eastAsia" w:ascii="宋体" w:hAnsi="宋体"/>
          <w:sz w:val="48"/>
          <w:szCs w:val="48"/>
        </w:rPr>
      </w:pPr>
      <w:r>
        <w:rPr>
          <w:rFonts w:hint="eastAsia" w:ascii="宋体" w:hAnsi="宋体"/>
          <w:sz w:val="48"/>
          <w:szCs w:val="48"/>
        </w:rPr>
        <w:t>项目清单及分项报价表</w:t>
      </w:r>
    </w:p>
    <w:p w14:paraId="53F7D228">
      <w:pPr>
        <w:snapToGrid w:val="0"/>
        <w:spacing w:line="360" w:lineRule="auto"/>
        <w:ind w:right="-350" w:rightChars="-167"/>
        <w:rPr>
          <w:rFonts w:hint="eastAsia"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1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1184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65463B65">
            <w:pPr>
              <w:pStyle w:val="11"/>
              <w:spacing w:line="240" w:lineRule="atLeast"/>
              <w:jc w:val="center"/>
              <w:rPr>
                <w:rFonts w:hint="eastAsia"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52617CFD">
            <w:pPr>
              <w:pStyle w:val="11"/>
              <w:spacing w:line="240" w:lineRule="atLeast"/>
              <w:jc w:val="center"/>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0104D3F3">
            <w:pPr>
              <w:pStyle w:val="11"/>
              <w:spacing w:line="240" w:lineRule="atLeast"/>
              <w:jc w:val="center"/>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3143C32E">
            <w:pPr>
              <w:pStyle w:val="11"/>
              <w:spacing w:line="240" w:lineRule="atLeast"/>
              <w:jc w:val="center"/>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FA39481">
            <w:pPr>
              <w:pStyle w:val="11"/>
              <w:spacing w:line="240" w:lineRule="atLeast"/>
              <w:jc w:val="center"/>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23A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31C08343">
            <w:pPr>
              <w:pStyle w:val="11"/>
              <w:spacing w:line="240" w:lineRule="atLeast"/>
              <w:jc w:val="center"/>
              <w:rPr>
                <w:rFonts w:hint="eastAsia" w:asciiTheme="minorEastAsia" w:hAnsiTheme="minorEastAsia" w:eastAsiaTheme="minorEastAsia"/>
                <w:szCs w:val="24"/>
              </w:rPr>
            </w:pPr>
          </w:p>
        </w:tc>
        <w:tc>
          <w:tcPr>
            <w:tcW w:w="3889" w:type="dxa"/>
            <w:vAlign w:val="center"/>
          </w:tcPr>
          <w:p w14:paraId="41786ABB">
            <w:pPr>
              <w:pStyle w:val="11"/>
              <w:spacing w:line="240" w:lineRule="atLeast"/>
              <w:jc w:val="center"/>
              <w:rPr>
                <w:rFonts w:hint="eastAsia" w:asciiTheme="minorEastAsia" w:hAnsiTheme="minorEastAsia" w:eastAsiaTheme="minorEastAsia"/>
                <w:szCs w:val="24"/>
              </w:rPr>
            </w:pPr>
          </w:p>
        </w:tc>
        <w:tc>
          <w:tcPr>
            <w:tcW w:w="1510" w:type="dxa"/>
            <w:vAlign w:val="center"/>
          </w:tcPr>
          <w:p w14:paraId="43A371C5">
            <w:pPr>
              <w:pStyle w:val="11"/>
              <w:spacing w:line="240" w:lineRule="atLeast"/>
              <w:jc w:val="center"/>
              <w:rPr>
                <w:rFonts w:hint="eastAsia" w:asciiTheme="minorEastAsia" w:hAnsiTheme="minorEastAsia" w:eastAsiaTheme="minorEastAsia"/>
                <w:szCs w:val="24"/>
              </w:rPr>
            </w:pPr>
          </w:p>
        </w:tc>
        <w:tc>
          <w:tcPr>
            <w:tcW w:w="1342" w:type="dxa"/>
            <w:vAlign w:val="center"/>
          </w:tcPr>
          <w:p w14:paraId="70506F06">
            <w:pPr>
              <w:pStyle w:val="11"/>
              <w:spacing w:line="360" w:lineRule="auto"/>
              <w:jc w:val="center"/>
              <w:rPr>
                <w:rFonts w:hint="eastAsia" w:asciiTheme="minorEastAsia" w:hAnsiTheme="minorEastAsia" w:eastAsiaTheme="minorEastAsia"/>
                <w:szCs w:val="24"/>
              </w:rPr>
            </w:pPr>
          </w:p>
        </w:tc>
        <w:tc>
          <w:tcPr>
            <w:tcW w:w="1229" w:type="dxa"/>
            <w:vAlign w:val="center"/>
          </w:tcPr>
          <w:p w14:paraId="58C03EED">
            <w:pPr>
              <w:pStyle w:val="11"/>
              <w:spacing w:line="360" w:lineRule="auto"/>
              <w:jc w:val="center"/>
              <w:rPr>
                <w:rFonts w:hint="eastAsia" w:asciiTheme="minorEastAsia" w:hAnsiTheme="minorEastAsia" w:eastAsiaTheme="minorEastAsia"/>
                <w:szCs w:val="24"/>
              </w:rPr>
            </w:pPr>
          </w:p>
        </w:tc>
      </w:tr>
      <w:tr w14:paraId="0406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99A709A">
            <w:pPr>
              <w:pStyle w:val="11"/>
              <w:spacing w:line="240" w:lineRule="atLeast"/>
              <w:jc w:val="center"/>
              <w:rPr>
                <w:rFonts w:hint="eastAsia" w:asciiTheme="minorEastAsia" w:hAnsiTheme="minorEastAsia" w:eastAsiaTheme="minorEastAsia"/>
                <w:szCs w:val="24"/>
              </w:rPr>
            </w:pPr>
          </w:p>
        </w:tc>
        <w:tc>
          <w:tcPr>
            <w:tcW w:w="3889" w:type="dxa"/>
            <w:vAlign w:val="center"/>
          </w:tcPr>
          <w:p w14:paraId="04DE836A">
            <w:pPr>
              <w:pStyle w:val="11"/>
              <w:spacing w:line="240" w:lineRule="atLeast"/>
              <w:jc w:val="center"/>
              <w:rPr>
                <w:rFonts w:hint="eastAsia" w:asciiTheme="minorEastAsia" w:hAnsiTheme="minorEastAsia" w:eastAsiaTheme="minorEastAsia"/>
                <w:szCs w:val="24"/>
              </w:rPr>
            </w:pPr>
          </w:p>
        </w:tc>
        <w:tc>
          <w:tcPr>
            <w:tcW w:w="1510" w:type="dxa"/>
            <w:vAlign w:val="center"/>
          </w:tcPr>
          <w:p w14:paraId="67642736">
            <w:pPr>
              <w:pStyle w:val="11"/>
              <w:spacing w:line="240" w:lineRule="atLeast"/>
              <w:jc w:val="center"/>
              <w:rPr>
                <w:rFonts w:hint="eastAsia" w:asciiTheme="minorEastAsia" w:hAnsiTheme="minorEastAsia" w:eastAsiaTheme="minorEastAsia"/>
                <w:szCs w:val="24"/>
              </w:rPr>
            </w:pPr>
          </w:p>
        </w:tc>
        <w:tc>
          <w:tcPr>
            <w:tcW w:w="1342" w:type="dxa"/>
            <w:vAlign w:val="center"/>
          </w:tcPr>
          <w:p w14:paraId="08413B2E">
            <w:pPr>
              <w:pStyle w:val="11"/>
              <w:spacing w:line="360" w:lineRule="auto"/>
              <w:jc w:val="center"/>
              <w:rPr>
                <w:rFonts w:hint="eastAsia" w:asciiTheme="minorEastAsia" w:hAnsiTheme="minorEastAsia" w:eastAsiaTheme="minorEastAsia"/>
                <w:szCs w:val="24"/>
              </w:rPr>
            </w:pPr>
          </w:p>
        </w:tc>
        <w:tc>
          <w:tcPr>
            <w:tcW w:w="1229" w:type="dxa"/>
            <w:vAlign w:val="center"/>
          </w:tcPr>
          <w:p w14:paraId="49881127">
            <w:pPr>
              <w:pStyle w:val="11"/>
              <w:spacing w:line="360" w:lineRule="auto"/>
              <w:jc w:val="center"/>
              <w:rPr>
                <w:rFonts w:hint="eastAsia" w:asciiTheme="minorEastAsia" w:hAnsiTheme="minorEastAsia" w:eastAsiaTheme="minorEastAsia"/>
                <w:szCs w:val="24"/>
              </w:rPr>
            </w:pPr>
          </w:p>
        </w:tc>
      </w:tr>
      <w:tr w14:paraId="2375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1655A506">
            <w:pPr>
              <w:pStyle w:val="11"/>
              <w:spacing w:line="240" w:lineRule="atLeast"/>
              <w:jc w:val="center"/>
              <w:rPr>
                <w:rFonts w:hint="eastAsia" w:asciiTheme="minorEastAsia" w:hAnsiTheme="minorEastAsia" w:eastAsiaTheme="minorEastAsia"/>
                <w:szCs w:val="24"/>
              </w:rPr>
            </w:pPr>
          </w:p>
        </w:tc>
        <w:tc>
          <w:tcPr>
            <w:tcW w:w="3889" w:type="dxa"/>
            <w:vAlign w:val="center"/>
          </w:tcPr>
          <w:p w14:paraId="6EA88A81">
            <w:pPr>
              <w:pStyle w:val="11"/>
              <w:spacing w:line="240" w:lineRule="atLeast"/>
              <w:jc w:val="center"/>
              <w:rPr>
                <w:rFonts w:hint="eastAsia" w:asciiTheme="minorEastAsia" w:hAnsiTheme="minorEastAsia" w:eastAsiaTheme="minorEastAsia"/>
                <w:szCs w:val="24"/>
              </w:rPr>
            </w:pPr>
          </w:p>
        </w:tc>
        <w:tc>
          <w:tcPr>
            <w:tcW w:w="1510" w:type="dxa"/>
            <w:vAlign w:val="center"/>
          </w:tcPr>
          <w:p w14:paraId="52D660F6">
            <w:pPr>
              <w:pStyle w:val="11"/>
              <w:spacing w:line="240" w:lineRule="atLeast"/>
              <w:jc w:val="center"/>
              <w:rPr>
                <w:rFonts w:hint="eastAsia" w:asciiTheme="minorEastAsia" w:hAnsiTheme="minorEastAsia" w:eastAsiaTheme="minorEastAsia"/>
                <w:szCs w:val="24"/>
              </w:rPr>
            </w:pPr>
          </w:p>
        </w:tc>
        <w:tc>
          <w:tcPr>
            <w:tcW w:w="1342" w:type="dxa"/>
            <w:vAlign w:val="center"/>
          </w:tcPr>
          <w:p w14:paraId="05529F01">
            <w:pPr>
              <w:pStyle w:val="11"/>
              <w:spacing w:line="360" w:lineRule="auto"/>
              <w:jc w:val="center"/>
              <w:rPr>
                <w:rFonts w:hint="eastAsia" w:asciiTheme="minorEastAsia" w:hAnsiTheme="minorEastAsia" w:eastAsiaTheme="minorEastAsia"/>
                <w:szCs w:val="24"/>
              </w:rPr>
            </w:pPr>
          </w:p>
        </w:tc>
        <w:tc>
          <w:tcPr>
            <w:tcW w:w="1229" w:type="dxa"/>
            <w:vAlign w:val="center"/>
          </w:tcPr>
          <w:p w14:paraId="4DAA907A">
            <w:pPr>
              <w:pStyle w:val="11"/>
              <w:spacing w:line="360" w:lineRule="auto"/>
              <w:jc w:val="center"/>
              <w:rPr>
                <w:rFonts w:hint="eastAsia" w:asciiTheme="minorEastAsia" w:hAnsiTheme="minorEastAsia" w:eastAsiaTheme="minorEastAsia"/>
                <w:szCs w:val="24"/>
              </w:rPr>
            </w:pPr>
          </w:p>
        </w:tc>
      </w:tr>
      <w:tr w14:paraId="58BA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6A9B2CB9">
            <w:pPr>
              <w:pStyle w:val="11"/>
              <w:spacing w:line="240" w:lineRule="atLeast"/>
              <w:jc w:val="center"/>
              <w:rPr>
                <w:rFonts w:hint="eastAsia" w:asciiTheme="minorEastAsia" w:hAnsiTheme="minorEastAsia" w:eastAsiaTheme="minorEastAsia"/>
                <w:szCs w:val="24"/>
              </w:rPr>
            </w:pPr>
          </w:p>
        </w:tc>
        <w:tc>
          <w:tcPr>
            <w:tcW w:w="3889" w:type="dxa"/>
            <w:vAlign w:val="center"/>
          </w:tcPr>
          <w:p w14:paraId="5E0F9257">
            <w:pPr>
              <w:pStyle w:val="11"/>
              <w:spacing w:line="240" w:lineRule="atLeast"/>
              <w:jc w:val="center"/>
              <w:rPr>
                <w:rFonts w:hint="eastAsia" w:asciiTheme="minorEastAsia" w:hAnsiTheme="minorEastAsia" w:eastAsiaTheme="minorEastAsia"/>
                <w:szCs w:val="24"/>
              </w:rPr>
            </w:pPr>
          </w:p>
        </w:tc>
        <w:tc>
          <w:tcPr>
            <w:tcW w:w="1510" w:type="dxa"/>
            <w:vAlign w:val="center"/>
          </w:tcPr>
          <w:p w14:paraId="166E0B58">
            <w:pPr>
              <w:pStyle w:val="11"/>
              <w:spacing w:line="240" w:lineRule="atLeast"/>
              <w:jc w:val="center"/>
              <w:rPr>
                <w:rFonts w:hint="eastAsia" w:asciiTheme="minorEastAsia" w:hAnsiTheme="minorEastAsia" w:eastAsiaTheme="minorEastAsia"/>
                <w:szCs w:val="24"/>
              </w:rPr>
            </w:pPr>
          </w:p>
        </w:tc>
        <w:tc>
          <w:tcPr>
            <w:tcW w:w="1342" w:type="dxa"/>
            <w:vAlign w:val="center"/>
          </w:tcPr>
          <w:p w14:paraId="16B5EC7D">
            <w:pPr>
              <w:pStyle w:val="11"/>
              <w:spacing w:line="360" w:lineRule="auto"/>
              <w:jc w:val="center"/>
              <w:rPr>
                <w:rFonts w:hint="eastAsia" w:asciiTheme="minorEastAsia" w:hAnsiTheme="minorEastAsia" w:eastAsiaTheme="minorEastAsia"/>
                <w:szCs w:val="24"/>
              </w:rPr>
            </w:pPr>
          </w:p>
        </w:tc>
        <w:tc>
          <w:tcPr>
            <w:tcW w:w="1229" w:type="dxa"/>
            <w:vAlign w:val="center"/>
          </w:tcPr>
          <w:p w14:paraId="5C3E2FC1">
            <w:pPr>
              <w:pStyle w:val="11"/>
              <w:spacing w:line="360" w:lineRule="auto"/>
              <w:jc w:val="center"/>
              <w:rPr>
                <w:rFonts w:hint="eastAsia" w:asciiTheme="minorEastAsia" w:hAnsiTheme="minorEastAsia" w:eastAsiaTheme="minorEastAsia"/>
                <w:szCs w:val="24"/>
              </w:rPr>
            </w:pPr>
          </w:p>
        </w:tc>
      </w:tr>
      <w:tr w14:paraId="75C0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168BB300">
            <w:pPr>
              <w:pStyle w:val="11"/>
              <w:spacing w:line="240" w:lineRule="atLeast"/>
              <w:jc w:val="center"/>
              <w:rPr>
                <w:rFonts w:hint="eastAsia" w:asciiTheme="minorEastAsia" w:hAnsiTheme="minorEastAsia" w:eastAsiaTheme="minorEastAsia"/>
                <w:szCs w:val="24"/>
              </w:rPr>
            </w:pPr>
          </w:p>
        </w:tc>
        <w:tc>
          <w:tcPr>
            <w:tcW w:w="3889" w:type="dxa"/>
            <w:vAlign w:val="center"/>
          </w:tcPr>
          <w:p w14:paraId="085EC738">
            <w:pPr>
              <w:pStyle w:val="11"/>
              <w:spacing w:line="240" w:lineRule="atLeast"/>
              <w:jc w:val="center"/>
              <w:rPr>
                <w:rFonts w:hint="eastAsia" w:asciiTheme="minorEastAsia" w:hAnsiTheme="minorEastAsia" w:eastAsiaTheme="minorEastAsia"/>
                <w:szCs w:val="24"/>
              </w:rPr>
            </w:pPr>
          </w:p>
        </w:tc>
        <w:tc>
          <w:tcPr>
            <w:tcW w:w="1510" w:type="dxa"/>
            <w:vAlign w:val="center"/>
          </w:tcPr>
          <w:p w14:paraId="370D5602">
            <w:pPr>
              <w:pStyle w:val="11"/>
              <w:spacing w:line="240" w:lineRule="atLeast"/>
              <w:jc w:val="center"/>
              <w:rPr>
                <w:rFonts w:hint="eastAsia" w:asciiTheme="minorEastAsia" w:hAnsiTheme="minorEastAsia" w:eastAsiaTheme="minorEastAsia"/>
                <w:szCs w:val="24"/>
              </w:rPr>
            </w:pPr>
          </w:p>
        </w:tc>
        <w:tc>
          <w:tcPr>
            <w:tcW w:w="1342" w:type="dxa"/>
            <w:vAlign w:val="center"/>
          </w:tcPr>
          <w:p w14:paraId="15A95A14">
            <w:pPr>
              <w:pStyle w:val="11"/>
              <w:spacing w:line="360" w:lineRule="auto"/>
              <w:jc w:val="center"/>
              <w:rPr>
                <w:rFonts w:hint="eastAsia" w:asciiTheme="minorEastAsia" w:hAnsiTheme="minorEastAsia" w:eastAsiaTheme="minorEastAsia"/>
                <w:szCs w:val="24"/>
              </w:rPr>
            </w:pPr>
          </w:p>
        </w:tc>
        <w:tc>
          <w:tcPr>
            <w:tcW w:w="1229" w:type="dxa"/>
            <w:vAlign w:val="center"/>
          </w:tcPr>
          <w:p w14:paraId="1CF17275">
            <w:pPr>
              <w:pStyle w:val="11"/>
              <w:spacing w:line="360" w:lineRule="auto"/>
              <w:jc w:val="center"/>
              <w:rPr>
                <w:rFonts w:hint="eastAsia" w:asciiTheme="minorEastAsia" w:hAnsiTheme="minorEastAsia" w:eastAsiaTheme="minorEastAsia"/>
                <w:szCs w:val="24"/>
              </w:rPr>
            </w:pPr>
          </w:p>
        </w:tc>
      </w:tr>
      <w:tr w14:paraId="6712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7AD49E0B">
            <w:pPr>
              <w:pStyle w:val="11"/>
              <w:spacing w:line="360" w:lineRule="auto"/>
              <w:jc w:val="center"/>
              <w:rPr>
                <w:rFonts w:hint="eastAsia"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49BFF86B">
            <w:pPr>
              <w:pStyle w:val="11"/>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大写：（元）</w:t>
            </w:r>
          </w:p>
          <w:p w14:paraId="64A9F46A">
            <w:pPr>
              <w:pStyle w:val="11"/>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小写：（元）</w:t>
            </w:r>
          </w:p>
        </w:tc>
      </w:tr>
    </w:tbl>
    <w:p w14:paraId="4A1204F5">
      <w:pPr>
        <w:spacing w:line="360" w:lineRule="auto"/>
        <w:ind w:firstLine="537" w:firstLineChars="224"/>
        <w:rPr>
          <w:rFonts w:hint="eastAsia" w:asciiTheme="minorEastAsia" w:hAnsiTheme="minorEastAsia"/>
          <w:sz w:val="24"/>
        </w:rPr>
      </w:pPr>
    </w:p>
    <w:p w14:paraId="30550020">
      <w:pPr>
        <w:spacing w:line="360" w:lineRule="auto"/>
        <w:rPr>
          <w:rFonts w:hint="eastAsia"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F28C4A">
      <w:pPr>
        <w:spacing w:line="360" w:lineRule="auto"/>
        <w:rPr>
          <w:rFonts w:hint="eastAsia"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3EFCC35B">
      <w:pPr>
        <w:spacing w:line="360" w:lineRule="auto"/>
        <w:rPr>
          <w:rFonts w:hint="eastAsia"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1DF570C">
      <w:pPr>
        <w:snapToGrid w:val="0"/>
        <w:spacing w:line="360" w:lineRule="auto"/>
        <w:ind w:right="-350" w:rightChars="-167"/>
        <w:rPr>
          <w:rFonts w:hint="eastAsia" w:ascii="宋体" w:hAnsi="宋体"/>
          <w:spacing w:val="4"/>
          <w:sz w:val="24"/>
        </w:rPr>
      </w:pPr>
      <w:bookmarkStart w:id="17" w:name="_Toc511029430"/>
    </w:p>
    <w:p w14:paraId="701B2ACB">
      <w:pPr>
        <w:pStyle w:val="3"/>
        <w:spacing w:before="0" w:after="0" w:line="360" w:lineRule="auto"/>
        <w:rPr>
          <w:rFonts w:hint="eastAsia" w:ascii="宋体" w:hAnsi="宋体"/>
          <w:b w:val="0"/>
          <w:sz w:val="21"/>
          <w:szCs w:val="21"/>
        </w:rPr>
      </w:pPr>
      <w:bookmarkStart w:id="18" w:name="_Toc15870"/>
    </w:p>
    <w:p w14:paraId="5D4599DE">
      <w:pPr>
        <w:pStyle w:val="3"/>
        <w:spacing w:before="0" w:after="0" w:line="360" w:lineRule="auto"/>
        <w:rPr>
          <w:rFonts w:hint="eastAsia" w:ascii="宋体" w:hAnsi="宋体"/>
          <w:b w:val="0"/>
          <w:sz w:val="21"/>
          <w:szCs w:val="21"/>
        </w:rPr>
      </w:pPr>
    </w:p>
    <w:p w14:paraId="522CCE9C">
      <w:pPr>
        <w:pStyle w:val="3"/>
        <w:spacing w:before="0" w:after="0" w:line="360" w:lineRule="auto"/>
        <w:rPr>
          <w:rFonts w:hint="eastAsia" w:ascii="宋体" w:hAnsi="宋体"/>
          <w:b w:val="0"/>
          <w:sz w:val="21"/>
          <w:szCs w:val="21"/>
        </w:rPr>
      </w:pPr>
    </w:p>
    <w:p w14:paraId="1BFF2545">
      <w:pPr>
        <w:pStyle w:val="3"/>
        <w:spacing w:before="0" w:after="0" w:line="360" w:lineRule="auto"/>
        <w:rPr>
          <w:rFonts w:hint="eastAsia" w:ascii="宋体" w:hAnsi="宋体"/>
          <w:b w:val="0"/>
          <w:sz w:val="21"/>
          <w:szCs w:val="21"/>
        </w:rPr>
      </w:pPr>
    </w:p>
    <w:p w14:paraId="26457F71">
      <w:pPr>
        <w:rPr>
          <w:rFonts w:hint="eastAsia" w:ascii="宋体" w:hAnsi="宋体"/>
          <w:szCs w:val="21"/>
        </w:rPr>
      </w:pPr>
    </w:p>
    <w:p w14:paraId="5336CE71">
      <w:pPr>
        <w:rPr>
          <w:rFonts w:hint="eastAsia" w:ascii="宋体" w:hAnsi="宋体"/>
          <w:szCs w:val="21"/>
        </w:rPr>
      </w:pPr>
    </w:p>
    <w:p w14:paraId="789AAE52">
      <w:pPr>
        <w:pStyle w:val="3"/>
        <w:spacing w:before="0" w:after="0" w:line="360" w:lineRule="auto"/>
        <w:rPr>
          <w:rFonts w:hint="eastAsia" w:ascii="宋体" w:hAnsi="宋体"/>
          <w:sz w:val="24"/>
          <w:szCs w:val="24"/>
        </w:rPr>
      </w:pPr>
      <w:r>
        <w:rPr>
          <w:rFonts w:hint="eastAsia" w:ascii="宋体" w:hAnsi="宋体"/>
          <w:b w:val="0"/>
          <w:sz w:val="24"/>
          <w:szCs w:val="24"/>
        </w:rPr>
        <w:t>附件4：技术规格响应/偏离表</w:t>
      </w:r>
      <w:bookmarkEnd w:id="18"/>
    </w:p>
    <w:p w14:paraId="611E87DB">
      <w:pPr>
        <w:spacing w:before="312" w:beforeLines="100" w:after="312" w:afterLines="100" w:line="360" w:lineRule="auto"/>
        <w:jc w:val="center"/>
        <w:rPr>
          <w:rFonts w:hint="eastAsia" w:ascii="宋体" w:hAnsi="宋体"/>
          <w:sz w:val="48"/>
          <w:szCs w:val="48"/>
        </w:rPr>
      </w:pPr>
      <w:r>
        <w:rPr>
          <w:rFonts w:hint="eastAsia" w:ascii="宋体" w:hAnsi="宋体"/>
          <w:sz w:val="48"/>
          <w:szCs w:val="48"/>
        </w:rPr>
        <w:t>技术规格响应/偏离表</w:t>
      </w:r>
    </w:p>
    <w:p w14:paraId="6B4ED75D">
      <w:pPr>
        <w:spacing w:after="156" w:afterLines="50"/>
        <w:jc w:val="left"/>
        <w:rPr>
          <w:rFonts w:hint="eastAsia"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9"/>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3E9F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4AA8FFD3">
            <w:pPr>
              <w:ind w:left="-90"/>
              <w:jc w:val="center"/>
              <w:rPr>
                <w:rFonts w:hint="eastAsia" w:ascii="宋体" w:hAnsi="宋体"/>
                <w:kern w:val="0"/>
                <w:sz w:val="24"/>
              </w:rPr>
            </w:pPr>
            <w:r>
              <w:rPr>
                <w:rFonts w:hint="eastAsia" w:ascii="宋体" w:hAnsi="宋体"/>
                <w:kern w:val="0"/>
                <w:sz w:val="24"/>
              </w:rPr>
              <w:t>序号</w:t>
            </w:r>
          </w:p>
        </w:tc>
        <w:tc>
          <w:tcPr>
            <w:tcW w:w="3185" w:type="dxa"/>
            <w:vAlign w:val="center"/>
          </w:tcPr>
          <w:p w14:paraId="506B1100">
            <w:pPr>
              <w:ind w:left="-90"/>
              <w:jc w:val="center"/>
              <w:rPr>
                <w:rFonts w:hint="eastAsia" w:ascii="宋体" w:hAnsi="宋体"/>
                <w:kern w:val="0"/>
                <w:sz w:val="24"/>
              </w:rPr>
            </w:pPr>
            <w:r>
              <w:rPr>
                <w:rFonts w:hint="eastAsia" w:ascii="宋体" w:hAnsi="宋体"/>
                <w:kern w:val="0"/>
                <w:sz w:val="24"/>
              </w:rPr>
              <w:t>采购需求指标</w:t>
            </w:r>
          </w:p>
        </w:tc>
        <w:tc>
          <w:tcPr>
            <w:tcW w:w="2340" w:type="dxa"/>
            <w:vAlign w:val="center"/>
          </w:tcPr>
          <w:p w14:paraId="3678148D">
            <w:pPr>
              <w:ind w:left="-90"/>
              <w:jc w:val="center"/>
              <w:rPr>
                <w:rFonts w:hint="eastAsia" w:ascii="宋体" w:hAnsi="宋体"/>
                <w:kern w:val="0"/>
                <w:sz w:val="24"/>
              </w:rPr>
            </w:pPr>
            <w:r>
              <w:rPr>
                <w:rFonts w:hint="eastAsia" w:ascii="宋体" w:hAnsi="宋体"/>
                <w:kern w:val="0"/>
                <w:sz w:val="24"/>
              </w:rPr>
              <w:t>投标指标</w:t>
            </w:r>
          </w:p>
        </w:tc>
        <w:tc>
          <w:tcPr>
            <w:tcW w:w="1635" w:type="dxa"/>
            <w:vAlign w:val="center"/>
          </w:tcPr>
          <w:p w14:paraId="37B9401D">
            <w:pPr>
              <w:ind w:left="-90"/>
              <w:jc w:val="center"/>
              <w:rPr>
                <w:rFonts w:hint="eastAsia" w:ascii="宋体" w:hAnsi="宋体"/>
                <w:kern w:val="0"/>
                <w:sz w:val="24"/>
              </w:rPr>
            </w:pPr>
            <w:r>
              <w:rPr>
                <w:rFonts w:hint="eastAsia" w:ascii="宋体" w:hAnsi="宋体"/>
                <w:kern w:val="0"/>
                <w:sz w:val="24"/>
              </w:rPr>
              <w:t>响应/偏离</w:t>
            </w:r>
          </w:p>
        </w:tc>
        <w:tc>
          <w:tcPr>
            <w:tcW w:w="1634" w:type="dxa"/>
            <w:vAlign w:val="center"/>
          </w:tcPr>
          <w:p w14:paraId="58DD58AC">
            <w:pPr>
              <w:ind w:left="-90"/>
              <w:jc w:val="center"/>
              <w:rPr>
                <w:rFonts w:hint="eastAsia" w:ascii="宋体" w:hAnsi="宋体"/>
                <w:kern w:val="0"/>
                <w:sz w:val="24"/>
              </w:rPr>
            </w:pPr>
            <w:r>
              <w:rPr>
                <w:rFonts w:hint="eastAsia" w:ascii="宋体" w:hAnsi="宋体"/>
                <w:kern w:val="0"/>
                <w:sz w:val="24"/>
              </w:rPr>
              <w:t>说明</w:t>
            </w:r>
          </w:p>
        </w:tc>
      </w:tr>
      <w:tr w14:paraId="78657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E6C59C1">
            <w:pPr>
              <w:ind w:left="-90"/>
              <w:jc w:val="center"/>
              <w:rPr>
                <w:rFonts w:hint="eastAsia" w:ascii="宋体" w:hAnsi="宋体"/>
                <w:kern w:val="0"/>
                <w:sz w:val="20"/>
              </w:rPr>
            </w:pPr>
          </w:p>
        </w:tc>
        <w:tc>
          <w:tcPr>
            <w:tcW w:w="3185" w:type="dxa"/>
            <w:vAlign w:val="center"/>
          </w:tcPr>
          <w:p w14:paraId="6DBC01EC">
            <w:pPr>
              <w:ind w:left="-90"/>
              <w:jc w:val="center"/>
              <w:rPr>
                <w:rFonts w:hint="eastAsia" w:ascii="宋体" w:hAnsi="宋体"/>
                <w:kern w:val="0"/>
                <w:sz w:val="20"/>
              </w:rPr>
            </w:pPr>
          </w:p>
        </w:tc>
        <w:tc>
          <w:tcPr>
            <w:tcW w:w="2340" w:type="dxa"/>
            <w:vAlign w:val="center"/>
          </w:tcPr>
          <w:p w14:paraId="60A2BF81">
            <w:pPr>
              <w:ind w:left="-90"/>
              <w:jc w:val="center"/>
              <w:rPr>
                <w:rFonts w:hint="eastAsia" w:ascii="宋体" w:hAnsi="宋体"/>
                <w:kern w:val="0"/>
                <w:sz w:val="20"/>
              </w:rPr>
            </w:pPr>
          </w:p>
        </w:tc>
        <w:tc>
          <w:tcPr>
            <w:tcW w:w="1635" w:type="dxa"/>
            <w:vAlign w:val="center"/>
          </w:tcPr>
          <w:p w14:paraId="5E99B2F8">
            <w:pPr>
              <w:ind w:left="-90"/>
              <w:jc w:val="center"/>
              <w:rPr>
                <w:rFonts w:hint="eastAsia" w:ascii="宋体" w:hAnsi="宋体"/>
                <w:kern w:val="0"/>
                <w:sz w:val="20"/>
              </w:rPr>
            </w:pPr>
          </w:p>
        </w:tc>
        <w:tc>
          <w:tcPr>
            <w:tcW w:w="1634" w:type="dxa"/>
            <w:vAlign w:val="center"/>
          </w:tcPr>
          <w:p w14:paraId="4973BEA4">
            <w:pPr>
              <w:ind w:left="-90"/>
              <w:jc w:val="center"/>
              <w:rPr>
                <w:rFonts w:hint="eastAsia" w:ascii="宋体" w:hAnsi="宋体"/>
                <w:kern w:val="0"/>
                <w:sz w:val="20"/>
              </w:rPr>
            </w:pPr>
          </w:p>
        </w:tc>
      </w:tr>
      <w:tr w14:paraId="3441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68B8CE24">
            <w:pPr>
              <w:ind w:left="-90"/>
              <w:jc w:val="center"/>
              <w:rPr>
                <w:rFonts w:hint="eastAsia" w:ascii="宋体" w:hAnsi="宋体"/>
                <w:kern w:val="0"/>
                <w:sz w:val="20"/>
              </w:rPr>
            </w:pPr>
          </w:p>
        </w:tc>
        <w:tc>
          <w:tcPr>
            <w:tcW w:w="3185" w:type="dxa"/>
            <w:vAlign w:val="center"/>
          </w:tcPr>
          <w:p w14:paraId="14C9367D">
            <w:pPr>
              <w:ind w:left="-90" w:right="-287" w:rightChars="-137"/>
              <w:jc w:val="center"/>
              <w:rPr>
                <w:rFonts w:hint="eastAsia" w:ascii="宋体" w:hAnsi="宋体"/>
                <w:kern w:val="0"/>
                <w:sz w:val="20"/>
              </w:rPr>
            </w:pPr>
          </w:p>
        </w:tc>
        <w:tc>
          <w:tcPr>
            <w:tcW w:w="2340" w:type="dxa"/>
            <w:vAlign w:val="center"/>
          </w:tcPr>
          <w:p w14:paraId="063C131C">
            <w:pPr>
              <w:ind w:left="-90"/>
              <w:jc w:val="center"/>
              <w:rPr>
                <w:rFonts w:hint="eastAsia" w:ascii="宋体" w:hAnsi="宋体"/>
                <w:kern w:val="0"/>
                <w:sz w:val="20"/>
              </w:rPr>
            </w:pPr>
          </w:p>
        </w:tc>
        <w:tc>
          <w:tcPr>
            <w:tcW w:w="1635" w:type="dxa"/>
            <w:vAlign w:val="center"/>
          </w:tcPr>
          <w:p w14:paraId="49B5C767">
            <w:pPr>
              <w:ind w:left="-90"/>
              <w:jc w:val="center"/>
              <w:rPr>
                <w:rFonts w:hint="eastAsia" w:ascii="宋体" w:hAnsi="宋体"/>
                <w:kern w:val="0"/>
                <w:sz w:val="20"/>
              </w:rPr>
            </w:pPr>
          </w:p>
        </w:tc>
        <w:tc>
          <w:tcPr>
            <w:tcW w:w="1634" w:type="dxa"/>
            <w:vAlign w:val="center"/>
          </w:tcPr>
          <w:p w14:paraId="5DAF9707">
            <w:pPr>
              <w:ind w:left="-90"/>
              <w:jc w:val="center"/>
              <w:rPr>
                <w:rFonts w:hint="eastAsia" w:ascii="宋体" w:hAnsi="宋体"/>
                <w:kern w:val="0"/>
                <w:sz w:val="20"/>
              </w:rPr>
            </w:pPr>
          </w:p>
        </w:tc>
      </w:tr>
      <w:tr w14:paraId="445BB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5C8FFCA6">
            <w:pPr>
              <w:ind w:left="-90"/>
              <w:jc w:val="center"/>
              <w:rPr>
                <w:rFonts w:hint="eastAsia" w:ascii="宋体" w:hAnsi="宋体"/>
                <w:kern w:val="0"/>
                <w:sz w:val="20"/>
              </w:rPr>
            </w:pPr>
          </w:p>
        </w:tc>
        <w:tc>
          <w:tcPr>
            <w:tcW w:w="3185" w:type="dxa"/>
            <w:vAlign w:val="center"/>
          </w:tcPr>
          <w:p w14:paraId="1ADC4865">
            <w:pPr>
              <w:ind w:left="-90"/>
              <w:jc w:val="center"/>
              <w:rPr>
                <w:rFonts w:hint="eastAsia" w:ascii="宋体" w:hAnsi="宋体"/>
                <w:kern w:val="0"/>
                <w:sz w:val="20"/>
              </w:rPr>
            </w:pPr>
          </w:p>
        </w:tc>
        <w:tc>
          <w:tcPr>
            <w:tcW w:w="2340" w:type="dxa"/>
            <w:vAlign w:val="center"/>
          </w:tcPr>
          <w:p w14:paraId="0FD2073D">
            <w:pPr>
              <w:ind w:left="-90"/>
              <w:jc w:val="center"/>
              <w:rPr>
                <w:rFonts w:hint="eastAsia" w:ascii="宋体" w:hAnsi="宋体"/>
                <w:kern w:val="0"/>
                <w:sz w:val="20"/>
              </w:rPr>
            </w:pPr>
          </w:p>
        </w:tc>
        <w:tc>
          <w:tcPr>
            <w:tcW w:w="1635" w:type="dxa"/>
            <w:vAlign w:val="center"/>
          </w:tcPr>
          <w:p w14:paraId="076C59A6">
            <w:pPr>
              <w:ind w:left="-90"/>
              <w:jc w:val="center"/>
              <w:rPr>
                <w:rFonts w:hint="eastAsia" w:ascii="宋体" w:hAnsi="宋体"/>
                <w:kern w:val="0"/>
                <w:sz w:val="20"/>
              </w:rPr>
            </w:pPr>
          </w:p>
        </w:tc>
        <w:tc>
          <w:tcPr>
            <w:tcW w:w="1634" w:type="dxa"/>
            <w:vAlign w:val="center"/>
          </w:tcPr>
          <w:p w14:paraId="62B7E867">
            <w:pPr>
              <w:ind w:left="-90"/>
              <w:jc w:val="center"/>
              <w:rPr>
                <w:rFonts w:hint="eastAsia" w:ascii="宋体" w:hAnsi="宋体"/>
                <w:kern w:val="0"/>
                <w:sz w:val="20"/>
              </w:rPr>
            </w:pPr>
          </w:p>
        </w:tc>
      </w:tr>
      <w:tr w14:paraId="288D9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0CEDE875">
            <w:pPr>
              <w:ind w:left="-90"/>
              <w:jc w:val="center"/>
              <w:rPr>
                <w:rFonts w:hint="eastAsia" w:ascii="宋体" w:hAnsi="宋体"/>
                <w:kern w:val="0"/>
                <w:sz w:val="20"/>
              </w:rPr>
            </w:pPr>
          </w:p>
        </w:tc>
        <w:tc>
          <w:tcPr>
            <w:tcW w:w="3185" w:type="dxa"/>
            <w:vAlign w:val="center"/>
          </w:tcPr>
          <w:p w14:paraId="1DFB767F">
            <w:pPr>
              <w:ind w:left="-90"/>
              <w:jc w:val="center"/>
              <w:rPr>
                <w:rFonts w:hint="eastAsia" w:ascii="宋体" w:hAnsi="宋体"/>
                <w:kern w:val="0"/>
                <w:sz w:val="20"/>
              </w:rPr>
            </w:pPr>
          </w:p>
        </w:tc>
        <w:tc>
          <w:tcPr>
            <w:tcW w:w="2340" w:type="dxa"/>
            <w:vAlign w:val="center"/>
          </w:tcPr>
          <w:p w14:paraId="52FD9D22">
            <w:pPr>
              <w:ind w:left="-90"/>
              <w:jc w:val="center"/>
              <w:rPr>
                <w:rFonts w:hint="eastAsia" w:ascii="宋体" w:hAnsi="宋体"/>
                <w:kern w:val="0"/>
                <w:sz w:val="20"/>
              </w:rPr>
            </w:pPr>
          </w:p>
        </w:tc>
        <w:tc>
          <w:tcPr>
            <w:tcW w:w="1635" w:type="dxa"/>
            <w:vAlign w:val="center"/>
          </w:tcPr>
          <w:p w14:paraId="668207A0">
            <w:pPr>
              <w:ind w:left="-90"/>
              <w:jc w:val="center"/>
              <w:rPr>
                <w:rFonts w:hint="eastAsia" w:ascii="宋体" w:hAnsi="宋体"/>
                <w:kern w:val="0"/>
                <w:sz w:val="20"/>
              </w:rPr>
            </w:pPr>
          </w:p>
        </w:tc>
        <w:tc>
          <w:tcPr>
            <w:tcW w:w="1634" w:type="dxa"/>
            <w:vAlign w:val="center"/>
          </w:tcPr>
          <w:p w14:paraId="256B8302">
            <w:pPr>
              <w:ind w:left="-90"/>
              <w:jc w:val="center"/>
              <w:rPr>
                <w:rFonts w:hint="eastAsia" w:ascii="宋体" w:hAnsi="宋体"/>
                <w:kern w:val="0"/>
                <w:sz w:val="20"/>
              </w:rPr>
            </w:pPr>
          </w:p>
        </w:tc>
      </w:tr>
      <w:tr w14:paraId="2101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5BD46D37">
            <w:pPr>
              <w:ind w:left="-90"/>
              <w:jc w:val="center"/>
              <w:rPr>
                <w:rFonts w:hint="eastAsia" w:ascii="宋体" w:hAnsi="宋体"/>
                <w:kern w:val="0"/>
                <w:sz w:val="20"/>
              </w:rPr>
            </w:pPr>
          </w:p>
        </w:tc>
        <w:tc>
          <w:tcPr>
            <w:tcW w:w="3185" w:type="dxa"/>
            <w:vAlign w:val="center"/>
          </w:tcPr>
          <w:p w14:paraId="7F6EBFF4">
            <w:pPr>
              <w:ind w:left="-90"/>
              <w:jc w:val="center"/>
              <w:rPr>
                <w:rFonts w:hint="eastAsia" w:ascii="宋体" w:hAnsi="宋体"/>
                <w:kern w:val="0"/>
                <w:sz w:val="20"/>
              </w:rPr>
            </w:pPr>
          </w:p>
        </w:tc>
        <w:tc>
          <w:tcPr>
            <w:tcW w:w="2340" w:type="dxa"/>
            <w:vAlign w:val="center"/>
          </w:tcPr>
          <w:p w14:paraId="56C6DFD6">
            <w:pPr>
              <w:ind w:left="-90"/>
              <w:jc w:val="center"/>
              <w:rPr>
                <w:rFonts w:hint="eastAsia" w:ascii="宋体" w:hAnsi="宋体"/>
                <w:kern w:val="0"/>
                <w:sz w:val="20"/>
              </w:rPr>
            </w:pPr>
          </w:p>
        </w:tc>
        <w:tc>
          <w:tcPr>
            <w:tcW w:w="1635" w:type="dxa"/>
            <w:vAlign w:val="center"/>
          </w:tcPr>
          <w:p w14:paraId="2685F9AC">
            <w:pPr>
              <w:ind w:left="-90"/>
              <w:jc w:val="center"/>
              <w:rPr>
                <w:rFonts w:hint="eastAsia" w:ascii="宋体" w:hAnsi="宋体"/>
                <w:kern w:val="0"/>
                <w:sz w:val="20"/>
              </w:rPr>
            </w:pPr>
          </w:p>
        </w:tc>
        <w:tc>
          <w:tcPr>
            <w:tcW w:w="1634" w:type="dxa"/>
            <w:vAlign w:val="center"/>
          </w:tcPr>
          <w:p w14:paraId="7CC808A8">
            <w:pPr>
              <w:ind w:left="-90"/>
              <w:jc w:val="center"/>
              <w:rPr>
                <w:rFonts w:hint="eastAsia" w:ascii="宋体" w:hAnsi="宋体"/>
                <w:kern w:val="0"/>
                <w:sz w:val="20"/>
              </w:rPr>
            </w:pPr>
          </w:p>
        </w:tc>
      </w:tr>
    </w:tbl>
    <w:p w14:paraId="421CAA98">
      <w:pPr>
        <w:pStyle w:val="2"/>
        <w:spacing w:before="156" w:beforeLines="50" w:after="156" w:afterLines="50" w:line="360" w:lineRule="auto"/>
        <w:jc w:val="left"/>
        <w:rPr>
          <w:rFonts w:hint="eastAsia"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60C96BD3">
      <w:pPr>
        <w:spacing w:line="360" w:lineRule="auto"/>
        <w:rPr>
          <w:rFonts w:hint="eastAsia"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2A3A58FE">
      <w:pPr>
        <w:spacing w:line="360" w:lineRule="auto"/>
        <w:rPr>
          <w:rFonts w:hint="eastAsia"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1B74CBDC">
      <w:pPr>
        <w:spacing w:line="360" w:lineRule="auto"/>
        <w:rPr>
          <w:rFonts w:hint="eastAsia" w:ascii="宋体" w:hAnsi="宋体"/>
          <w:sz w:val="24"/>
          <w:u w:val="single"/>
        </w:rPr>
      </w:pPr>
      <w:r>
        <w:rPr>
          <w:rFonts w:hint="eastAsia" w:ascii="宋体" w:hAnsi="宋体"/>
          <w:sz w:val="24"/>
        </w:rPr>
        <w:t>日期：</w:t>
      </w:r>
      <w:r>
        <w:rPr>
          <w:rFonts w:hint="eastAsia" w:ascii="宋体" w:hAnsi="宋体"/>
          <w:sz w:val="24"/>
          <w:u w:val="single"/>
        </w:rPr>
        <w:t xml:space="preserve">                 </w:t>
      </w:r>
    </w:p>
    <w:p w14:paraId="6ABD8A9D">
      <w:pPr>
        <w:snapToGrid w:val="0"/>
        <w:spacing w:line="360" w:lineRule="auto"/>
        <w:ind w:right="-350" w:rightChars="-167"/>
        <w:rPr>
          <w:rFonts w:hint="eastAsia" w:ascii="宋体" w:hAnsi="宋体"/>
          <w:spacing w:val="4"/>
          <w:sz w:val="24"/>
        </w:rPr>
      </w:pPr>
    </w:p>
    <w:p w14:paraId="047BA51F">
      <w:pPr>
        <w:snapToGrid w:val="0"/>
        <w:spacing w:line="360" w:lineRule="auto"/>
        <w:ind w:right="-350" w:rightChars="-167"/>
        <w:rPr>
          <w:rFonts w:hint="eastAsia" w:ascii="宋体" w:hAnsi="宋体"/>
          <w:spacing w:val="4"/>
          <w:sz w:val="24"/>
        </w:rPr>
      </w:pPr>
    </w:p>
    <w:p w14:paraId="167A41F3">
      <w:pPr>
        <w:snapToGrid w:val="0"/>
        <w:spacing w:line="360" w:lineRule="auto"/>
        <w:ind w:right="-350" w:rightChars="-167"/>
        <w:rPr>
          <w:rFonts w:hint="eastAsia" w:ascii="宋体" w:hAnsi="宋体"/>
          <w:spacing w:val="4"/>
          <w:sz w:val="24"/>
        </w:rPr>
      </w:pPr>
    </w:p>
    <w:p w14:paraId="6B40B6C8">
      <w:pPr>
        <w:snapToGrid w:val="0"/>
        <w:spacing w:line="360" w:lineRule="auto"/>
        <w:ind w:right="-350" w:rightChars="-167"/>
        <w:rPr>
          <w:rFonts w:hint="eastAsia" w:ascii="宋体" w:hAnsi="宋体"/>
          <w:spacing w:val="4"/>
          <w:sz w:val="24"/>
        </w:rPr>
      </w:pPr>
    </w:p>
    <w:p w14:paraId="2CB0F6A4">
      <w:pPr>
        <w:snapToGrid w:val="0"/>
        <w:spacing w:line="360" w:lineRule="auto"/>
        <w:ind w:right="-350" w:rightChars="-167"/>
        <w:rPr>
          <w:rFonts w:hint="eastAsia" w:ascii="宋体" w:hAnsi="宋体"/>
          <w:spacing w:val="4"/>
          <w:sz w:val="24"/>
        </w:rPr>
      </w:pPr>
    </w:p>
    <w:p w14:paraId="1BF2BF48">
      <w:pPr>
        <w:snapToGrid w:val="0"/>
        <w:spacing w:line="360" w:lineRule="auto"/>
        <w:ind w:right="-350" w:rightChars="-167"/>
        <w:rPr>
          <w:rFonts w:hint="eastAsia"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14:paraId="4AA0EE7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1AEA409A">
      <w:pPr>
        <w:widowControl/>
        <w:jc w:val="left"/>
        <w:rPr>
          <w:rFonts w:hint="eastAsia" w:ascii="宋体" w:hAnsi="宋体" w:eastAsia="宋体" w:cs="宋体"/>
          <w:color w:val="000000"/>
          <w:kern w:val="0"/>
          <w:sz w:val="20"/>
          <w:szCs w:val="20"/>
          <w:lang w:bidi="ar"/>
        </w:rPr>
      </w:pPr>
    </w:p>
    <w:p w14:paraId="27BD0BD8">
      <w:pPr>
        <w:widowControl/>
        <w:jc w:val="center"/>
        <w:rPr>
          <w:rFonts w:hint="eastAsia"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A7C2447">
      <w:pPr>
        <w:widowControl/>
        <w:jc w:val="center"/>
        <w:rPr>
          <w:rFonts w:hint="eastAsia" w:ascii="宋体" w:hAnsi="宋体" w:eastAsia="宋体" w:cs="宋体"/>
          <w:color w:val="000000"/>
          <w:kern w:val="0"/>
          <w:sz w:val="48"/>
          <w:szCs w:val="48"/>
          <w:lang w:bidi="ar"/>
        </w:rPr>
      </w:pPr>
    </w:p>
    <w:p w14:paraId="27888439">
      <w:pPr>
        <w:widowControl/>
        <w:spacing w:line="360" w:lineRule="auto"/>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B453CAC">
      <w:pPr>
        <w:widowControl/>
        <w:spacing w:line="360" w:lineRule="auto"/>
        <w:jc w:val="left"/>
        <w:rPr>
          <w:rFonts w:hint="eastAsia" w:ascii="宋体" w:hAnsi="宋体" w:eastAsia="宋体" w:cs="宋体"/>
          <w:color w:val="000000"/>
          <w:kern w:val="0"/>
          <w:sz w:val="28"/>
          <w:szCs w:val="28"/>
          <w:lang w:bidi="ar"/>
        </w:rPr>
      </w:pPr>
    </w:p>
    <w:p w14:paraId="6A3574A3">
      <w:pPr>
        <w:widowControl/>
        <w:spacing w:line="360" w:lineRule="auto"/>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1FC88F79">
      <w:pPr>
        <w:widowControl/>
        <w:spacing w:line="360" w:lineRule="auto"/>
        <w:ind w:firstLine="560" w:firstLineChars="200"/>
        <w:jc w:val="left"/>
        <w:rPr>
          <w:rFonts w:hint="eastAsia" w:ascii="宋体" w:hAnsi="宋体" w:eastAsia="宋体" w:cs="宋体"/>
          <w:color w:val="000000"/>
          <w:kern w:val="0"/>
          <w:sz w:val="28"/>
          <w:szCs w:val="28"/>
          <w:lang w:bidi="ar"/>
        </w:rPr>
      </w:pPr>
    </w:p>
    <w:p w14:paraId="6C34CAE7">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058F7BB">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024857F">
      <w:pPr>
        <w:widowControl/>
        <w:jc w:val="left"/>
        <w:rPr>
          <w:rFonts w:hint="eastAsia" w:ascii="宋体" w:hAnsi="宋体" w:eastAsia="宋体" w:cs="宋体"/>
          <w:color w:val="000000"/>
          <w:kern w:val="0"/>
          <w:sz w:val="24"/>
          <w:lang w:bidi="ar"/>
        </w:rPr>
      </w:pPr>
    </w:p>
    <w:p w14:paraId="04221456">
      <w:pPr>
        <w:widowControl/>
        <w:jc w:val="left"/>
        <w:rPr>
          <w:rFonts w:hint="eastAsia" w:ascii="宋体" w:hAnsi="宋体" w:eastAsia="宋体" w:cs="宋体"/>
          <w:color w:val="000000"/>
          <w:kern w:val="0"/>
          <w:sz w:val="24"/>
          <w:lang w:bidi="ar"/>
        </w:rPr>
      </w:pPr>
    </w:p>
    <w:p w14:paraId="2A72C763">
      <w:pPr>
        <w:widowControl/>
        <w:jc w:val="left"/>
      </w:pPr>
      <w:r>
        <w:rPr>
          <w:rFonts w:hint="eastAsia" w:ascii="宋体" w:hAnsi="宋体" w:eastAsia="宋体" w:cs="宋体"/>
          <w:color w:val="000000"/>
          <w:kern w:val="0"/>
          <w:sz w:val="24"/>
          <w:lang w:bidi="ar"/>
        </w:rPr>
        <w:t>被授权人身份证正反面复印件粘贴</w:t>
      </w:r>
    </w:p>
    <w:p w14:paraId="1057F7E3">
      <w:pPr>
        <w:spacing w:line="360" w:lineRule="auto"/>
        <w:rPr>
          <w:rFonts w:hint="eastAsia" w:ascii="宋体" w:hAnsi="宋体" w:eastAsia="宋体" w:cs="宋体"/>
          <w:sz w:val="28"/>
          <w:szCs w:val="28"/>
        </w:rPr>
      </w:pPr>
    </w:p>
    <w:p w14:paraId="19CD678E">
      <w:pPr>
        <w:rPr>
          <w:sz w:val="24"/>
        </w:rPr>
      </w:pPr>
    </w:p>
    <w:p w14:paraId="780A6CE1">
      <w:pPr>
        <w:rPr>
          <w:sz w:val="24"/>
        </w:rPr>
      </w:pPr>
    </w:p>
    <w:p w14:paraId="42FFD9B7">
      <w:pPr>
        <w:rPr>
          <w:sz w:val="24"/>
        </w:rPr>
      </w:pPr>
    </w:p>
    <w:p w14:paraId="6C50238F">
      <w:pPr>
        <w:rPr>
          <w:sz w:val="24"/>
        </w:rPr>
      </w:pPr>
    </w:p>
    <w:p w14:paraId="59711C3C">
      <w:pPr>
        <w:rPr>
          <w:sz w:val="24"/>
        </w:rPr>
      </w:pPr>
    </w:p>
    <w:p w14:paraId="63550A3A">
      <w:pPr>
        <w:rPr>
          <w:sz w:val="24"/>
        </w:rPr>
      </w:pPr>
    </w:p>
    <w:p w14:paraId="50764A81">
      <w:pPr>
        <w:rPr>
          <w:sz w:val="24"/>
        </w:rPr>
      </w:pPr>
    </w:p>
    <w:p w14:paraId="6515253B">
      <w:pPr>
        <w:rPr>
          <w:sz w:val="24"/>
        </w:rPr>
      </w:pPr>
    </w:p>
    <w:p w14:paraId="774237A0">
      <w:pPr>
        <w:rPr>
          <w:sz w:val="24"/>
        </w:rPr>
      </w:pPr>
    </w:p>
    <w:p w14:paraId="425CE43E">
      <w:pPr>
        <w:rPr>
          <w:sz w:val="24"/>
        </w:rPr>
      </w:pPr>
    </w:p>
    <w:p w14:paraId="00AD06C1">
      <w:pPr>
        <w:rPr>
          <w:sz w:val="24"/>
        </w:rPr>
      </w:pPr>
    </w:p>
    <w:p w14:paraId="08E8C0A1">
      <w:pPr>
        <w:rPr>
          <w:sz w:val="24"/>
        </w:rPr>
      </w:pPr>
    </w:p>
    <w:p w14:paraId="6432A1E6">
      <w:pPr>
        <w:rPr>
          <w:sz w:val="24"/>
        </w:rPr>
      </w:pPr>
    </w:p>
    <w:p w14:paraId="0579EFDA">
      <w:pPr>
        <w:rPr>
          <w:sz w:val="24"/>
        </w:rPr>
      </w:pPr>
    </w:p>
    <w:p w14:paraId="31F34095">
      <w:pPr>
        <w:rPr>
          <w:sz w:val="24"/>
        </w:rPr>
      </w:pPr>
    </w:p>
    <w:p w14:paraId="5C016B6B">
      <w:pPr>
        <w:pStyle w:val="3"/>
        <w:spacing w:before="0" w:after="0" w:line="360" w:lineRule="auto"/>
        <w:rPr>
          <w:rFonts w:hint="eastAsia" w:asciiTheme="minorEastAsia" w:hAnsiTheme="minorEastAsia"/>
          <w:b w:val="0"/>
          <w:bCs w:val="0"/>
          <w:sz w:val="21"/>
          <w:szCs w:val="21"/>
        </w:rPr>
      </w:pPr>
      <w:bookmarkStart w:id="19" w:name="_Toc511029431"/>
      <w:bookmarkStart w:id="20" w:name="_Toc510948711"/>
    </w:p>
    <w:bookmarkEnd w:id="19"/>
    <w:bookmarkEnd w:id="20"/>
    <w:p w14:paraId="3D82D92A">
      <w:pPr>
        <w:rPr>
          <w:sz w:val="24"/>
        </w:rPr>
      </w:pPr>
    </w:p>
    <w:p w14:paraId="5FD1EC4F">
      <w:pPr>
        <w:rPr>
          <w:sz w:val="24"/>
        </w:rPr>
      </w:pPr>
    </w:p>
    <w:p w14:paraId="13637A8E">
      <w:pPr>
        <w:rPr>
          <w:sz w:val="24"/>
        </w:rPr>
      </w:pPr>
      <w:r>
        <w:rPr>
          <w:rFonts w:hint="eastAsia"/>
          <w:sz w:val="24"/>
        </w:rPr>
        <w:t>附件6</w:t>
      </w:r>
    </w:p>
    <w:p w14:paraId="6A61439E">
      <w:pPr>
        <w:spacing w:line="480" w:lineRule="auto"/>
        <w:jc w:val="center"/>
        <w:rPr>
          <w:rFonts w:hint="eastAsia"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306C00C8">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3A66C037">
      <w:pPr>
        <w:spacing w:line="480" w:lineRule="auto"/>
        <w:rPr>
          <w:rFonts w:hint="eastAsia"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12E8C35E">
      <w:pPr>
        <w:numPr>
          <w:ilvl w:val="0"/>
          <w:numId w:val="14"/>
        </w:numPr>
        <w:spacing w:line="48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069BA845">
      <w:pPr>
        <w:numPr>
          <w:ilvl w:val="0"/>
          <w:numId w:val="14"/>
        </w:numPr>
        <w:spacing w:line="48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1C931E9C">
      <w:pPr>
        <w:numPr>
          <w:ilvl w:val="0"/>
          <w:numId w:val="14"/>
        </w:numPr>
        <w:spacing w:line="48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5309FB58">
      <w:pPr>
        <w:spacing w:line="480" w:lineRule="auto"/>
        <w:rPr>
          <w:rFonts w:hint="eastAsia"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0FC5368">
      <w:pPr>
        <w:spacing w:line="480" w:lineRule="auto"/>
        <w:rPr>
          <w:rFonts w:hint="eastAsia"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2B18A0F6">
      <w:pPr>
        <w:spacing w:line="480" w:lineRule="auto"/>
        <w:rPr>
          <w:rFonts w:hint="eastAsia"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6AE3D196">
      <w:pPr>
        <w:spacing w:line="480" w:lineRule="auto"/>
        <w:rPr>
          <w:rFonts w:hint="eastAsia"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0EC47A0">
      <w:pPr>
        <w:spacing w:line="480" w:lineRule="auto"/>
        <w:rPr>
          <w:rFonts w:hint="eastAsia"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384A0C3">
      <w:pPr>
        <w:spacing w:line="480" w:lineRule="auto"/>
        <w:rPr>
          <w:rFonts w:hint="eastAsia"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218384C">
      <w:pPr>
        <w:spacing w:line="480" w:lineRule="auto"/>
        <w:ind w:left="420" w:leftChars="200"/>
        <w:rPr>
          <w:rFonts w:hint="eastAsia" w:asciiTheme="minorEastAsia" w:hAnsiTheme="minorEastAsia" w:cstheme="minorEastAsia"/>
          <w:sz w:val="24"/>
        </w:rPr>
      </w:pPr>
    </w:p>
    <w:p w14:paraId="0634A530">
      <w:pPr>
        <w:spacing w:line="480" w:lineRule="auto"/>
        <w:ind w:left="420" w:leftChars="200"/>
        <w:rPr>
          <w:rFonts w:hint="eastAsia" w:asciiTheme="minorEastAsia" w:hAnsiTheme="minorEastAsia" w:cstheme="minorEastAsia"/>
          <w:sz w:val="24"/>
        </w:rPr>
      </w:pPr>
      <w:r>
        <w:rPr>
          <w:rFonts w:hint="eastAsia" w:asciiTheme="minorEastAsia" w:hAnsiTheme="minorEastAsia" w:cstheme="minorEastAsia"/>
          <w:sz w:val="24"/>
        </w:rPr>
        <w:t xml:space="preserve">                 </w:t>
      </w:r>
    </w:p>
    <w:p w14:paraId="2CB1D34B">
      <w:pPr>
        <w:spacing w:line="480" w:lineRule="auto"/>
        <w:ind w:left="420" w:leftChars="200"/>
        <w:jc w:val="center"/>
        <w:rPr>
          <w:rFonts w:hint="eastAsia"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3D03A835">
      <w:pPr>
        <w:spacing w:line="480" w:lineRule="auto"/>
        <w:ind w:left="420" w:leftChars="200"/>
        <w:jc w:val="right"/>
        <w:rPr>
          <w:rFonts w:hint="eastAsia"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5058C96D">
      <w:pPr>
        <w:spacing w:line="480" w:lineRule="auto"/>
        <w:ind w:left="420" w:leftChars="200"/>
        <w:jc w:val="right"/>
        <w:rPr>
          <w:rFonts w:hint="eastAsia" w:asciiTheme="minorEastAsia" w:hAnsiTheme="minorEastAsia" w:cstheme="minorEastAsia"/>
          <w:sz w:val="24"/>
        </w:rPr>
      </w:pPr>
      <w:r>
        <w:rPr>
          <w:rFonts w:hint="eastAsia" w:asciiTheme="minorEastAsia" w:hAnsiTheme="minorEastAsia" w:cstheme="minorEastAsia"/>
          <w:sz w:val="24"/>
        </w:rPr>
        <w:t xml:space="preserve">                                              年      月     日</w:t>
      </w:r>
    </w:p>
    <w:p w14:paraId="79344212">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AMGD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2369FDDC">
        <w:pPr>
          <w:pStyle w:val="14"/>
          <w:jc w:val="center"/>
        </w:pPr>
        <w:r>
          <w:fldChar w:fldCharType="begin"/>
        </w:r>
        <w:r>
          <w:instrText xml:space="preserve">PAGE   \* MERGEFORMAT</w:instrText>
        </w:r>
        <w:r>
          <w:fldChar w:fldCharType="separate"/>
        </w:r>
        <w:r>
          <w:t>2</w:t>
        </w:r>
        <w:r>
          <w:fldChar w:fldCharType="end"/>
        </w:r>
      </w:p>
    </w:sdtContent>
  </w:sdt>
  <w:p w14:paraId="343C98B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45025C9E">
        <w:pPr>
          <w:pStyle w:val="14"/>
          <w:jc w:val="center"/>
        </w:pPr>
        <w:r>
          <w:fldChar w:fldCharType="begin"/>
        </w:r>
        <w:r>
          <w:instrText xml:space="preserve">PAGE   \* MERGEFORMAT</w:instrText>
        </w:r>
        <w:r>
          <w:fldChar w:fldCharType="separate"/>
        </w:r>
        <w:r>
          <w:t>1</w:t>
        </w:r>
        <w:r>
          <w:fldChar w:fldCharType="end"/>
        </w:r>
      </w:p>
    </w:sdtContent>
  </w:sdt>
  <w:p w14:paraId="06A7FD5B">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4B5AD67"/>
    <w:multiLevelType w:val="singleLevel"/>
    <w:tmpl w:val="B4B5AD67"/>
    <w:lvl w:ilvl="0" w:tentative="0">
      <w:start w:val="1"/>
      <w:numFmt w:val="decimal"/>
      <w:lvlText w:val="%1."/>
      <w:lvlJc w:val="left"/>
      <w:pPr>
        <w:tabs>
          <w:tab w:val="left" w:pos="312"/>
        </w:tabs>
      </w:pPr>
    </w:lvl>
  </w:abstractNum>
  <w:abstractNum w:abstractNumId="2">
    <w:nsid w:val="B6988102"/>
    <w:multiLevelType w:val="singleLevel"/>
    <w:tmpl w:val="B6988102"/>
    <w:lvl w:ilvl="0" w:tentative="0">
      <w:start w:val="1"/>
      <w:numFmt w:val="decimal"/>
      <w:lvlText w:val="%1."/>
      <w:lvlJc w:val="left"/>
      <w:pPr>
        <w:tabs>
          <w:tab w:val="left" w:pos="312"/>
        </w:tabs>
      </w:pPr>
    </w:lvl>
  </w:abstractNum>
  <w:abstractNum w:abstractNumId="3">
    <w:nsid w:val="B855EFA4"/>
    <w:multiLevelType w:val="singleLevel"/>
    <w:tmpl w:val="B855EFA4"/>
    <w:lvl w:ilvl="0" w:tentative="0">
      <w:start w:val="1"/>
      <w:numFmt w:val="decimal"/>
      <w:lvlText w:val="%1."/>
      <w:lvlJc w:val="left"/>
      <w:pPr>
        <w:tabs>
          <w:tab w:val="left" w:pos="312"/>
        </w:tabs>
      </w:pPr>
    </w:lvl>
  </w:abstractNum>
  <w:abstractNum w:abstractNumId="4">
    <w:nsid w:val="C13DAEB0"/>
    <w:multiLevelType w:val="singleLevel"/>
    <w:tmpl w:val="C13DAEB0"/>
    <w:lvl w:ilvl="0" w:tentative="0">
      <w:start w:val="3"/>
      <w:numFmt w:val="chineseCounting"/>
      <w:suff w:val="nothing"/>
      <w:lvlText w:val="%1、"/>
      <w:lvlJc w:val="left"/>
      <w:rPr>
        <w:rFonts w:hint="eastAsia"/>
      </w:rPr>
    </w:lvl>
  </w:abstractNum>
  <w:abstractNum w:abstractNumId="5">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6">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7">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8">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9">
    <w:nsid w:val="F64870AB"/>
    <w:multiLevelType w:val="singleLevel"/>
    <w:tmpl w:val="F64870AB"/>
    <w:lvl w:ilvl="0" w:tentative="0">
      <w:start w:val="1"/>
      <w:numFmt w:val="decimal"/>
      <w:lvlText w:val="%1."/>
      <w:lvlJc w:val="left"/>
      <w:pPr>
        <w:tabs>
          <w:tab w:val="left" w:pos="312"/>
        </w:tabs>
      </w:pPr>
    </w:lvl>
  </w:abstractNum>
  <w:abstractNum w:abstractNumId="10">
    <w:nsid w:val="152FB559"/>
    <w:multiLevelType w:val="singleLevel"/>
    <w:tmpl w:val="152FB559"/>
    <w:lvl w:ilvl="0" w:tentative="0">
      <w:start w:val="1"/>
      <w:numFmt w:val="decimal"/>
      <w:lvlText w:val="%1."/>
      <w:lvlJc w:val="left"/>
      <w:pPr>
        <w:tabs>
          <w:tab w:val="left" w:pos="312"/>
        </w:tabs>
      </w:pPr>
    </w:lvl>
  </w:abstractNum>
  <w:abstractNum w:abstractNumId="11">
    <w:nsid w:val="152FE204"/>
    <w:multiLevelType w:val="singleLevel"/>
    <w:tmpl w:val="152FE204"/>
    <w:lvl w:ilvl="0" w:tentative="0">
      <w:start w:val="1"/>
      <w:numFmt w:val="decimal"/>
      <w:suff w:val="nothing"/>
      <w:lvlText w:val="%1．"/>
      <w:lvlJc w:val="left"/>
      <w:pPr>
        <w:ind w:left="0" w:firstLine="400"/>
      </w:pPr>
      <w:rPr>
        <w:rFonts w:hint="default"/>
      </w:rPr>
    </w:lvl>
  </w:abstractNum>
  <w:abstractNum w:abstractNumId="12">
    <w:nsid w:val="43BEFA6D"/>
    <w:multiLevelType w:val="singleLevel"/>
    <w:tmpl w:val="43BEFA6D"/>
    <w:lvl w:ilvl="0" w:tentative="0">
      <w:start w:val="3"/>
      <w:numFmt w:val="chineseCounting"/>
      <w:suff w:val="space"/>
      <w:lvlText w:val="第%1部分"/>
      <w:lvlJc w:val="left"/>
      <w:rPr>
        <w:rFonts w:hint="eastAsia"/>
      </w:rPr>
    </w:lvl>
  </w:abstractNum>
  <w:abstractNum w:abstractNumId="13">
    <w:nsid w:val="4BED1483"/>
    <w:multiLevelType w:val="singleLevel"/>
    <w:tmpl w:val="4BED1483"/>
    <w:lvl w:ilvl="0" w:tentative="0">
      <w:start w:val="3"/>
      <w:numFmt w:val="chineseCounting"/>
      <w:suff w:val="nothing"/>
      <w:lvlText w:val="%1、"/>
      <w:lvlJc w:val="left"/>
      <w:rPr>
        <w:rFonts w:hint="eastAsia"/>
      </w:rPr>
    </w:lvl>
  </w:abstractNum>
  <w:num w:numId="1">
    <w:abstractNumId w:val="0"/>
  </w:num>
  <w:num w:numId="2">
    <w:abstractNumId w:val="7"/>
  </w:num>
  <w:num w:numId="3">
    <w:abstractNumId w:val="8"/>
  </w:num>
  <w:num w:numId="4">
    <w:abstractNumId w:val="6"/>
  </w:num>
  <w:num w:numId="5">
    <w:abstractNumId w:val="5"/>
  </w:num>
  <w:num w:numId="6">
    <w:abstractNumId w:val="12"/>
  </w:num>
  <w:num w:numId="7">
    <w:abstractNumId w:val="13"/>
  </w:num>
  <w:num w:numId="8">
    <w:abstractNumId w:val="9"/>
  </w:num>
  <w:num w:numId="9">
    <w:abstractNumId w:val="3"/>
  </w:num>
  <w:num w:numId="10">
    <w:abstractNumId w:val="2"/>
  </w:num>
  <w:num w:numId="11">
    <w:abstractNumId w:val="1"/>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3F5C11"/>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83D84"/>
    <w:rsid w:val="00AA6F81"/>
    <w:rsid w:val="00B454EB"/>
    <w:rsid w:val="00B512B2"/>
    <w:rsid w:val="00B844FE"/>
    <w:rsid w:val="00BD453F"/>
    <w:rsid w:val="00C22CD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6D45A1"/>
    <w:rsid w:val="08E03423"/>
    <w:rsid w:val="09344C4E"/>
    <w:rsid w:val="09963D4E"/>
    <w:rsid w:val="0A0106F5"/>
    <w:rsid w:val="0B36375A"/>
    <w:rsid w:val="0C707C14"/>
    <w:rsid w:val="0CE20074"/>
    <w:rsid w:val="0EE55A91"/>
    <w:rsid w:val="12F301E3"/>
    <w:rsid w:val="14890446"/>
    <w:rsid w:val="1574621E"/>
    <w:rsid w:val="1A0653C4"/>
    <w:rsid w:val="1A4A1646"/>
    <w:rsid w:val="1ACD37C2"/>
    <w:rsid w:val="1BC26010"/>
    <w:rsid w:val="1C0C1B6A"/>
    <w:rsid w:val="1DD91315"/>
    <w:rsid w:val="1DF63666"/>
    <w:rsid w:val="1EDF4885"/>
    <w:rsid w:val="1F8519CA"/>
    <w:rsid w:val="1FB424D5"/>
    <w:rsid w:val="1FF45B7B"/>
    <w:rsid w:val="207032A0"/>
    <w:rsid w:val="2230056D"/>
    <w:rsid w:val="227859C0"/>
    <w:rsid w:val="22AE0B82"/>
    <w:rsid w:val="237909F8"/>
    <w:rsid w:val="240A1A0E"/>
    <w:rsid w:val="267B2653"/>
    <w:rsid w:val="26C32955"/>
    <w:rsid w:val="28D220AC"/>
    <w:rsid w:val="29270EDC"/>
    <w:rsid w:val="294835F5"/>
    <w:rsid w:val="2A321A43"/>
    <w:rsid w:val="2B0F3624"/>
    <w:rsid w:val="2BFB0A21"/>
    <w:rsid w:val="2D89352F"/>
    <w:rsid w:val="2DA277EB"/>
    <w:rsid w:val="2F425CE3"/>
    <w:rsid w:val="2FA65BC5"/>
    <w:rsid w:val="31A724FC"/>
    <w:rsid w:val="340E25D9"/>
    <w:rsid w:val="341A0804"/>
    <w:rsid w:val="34524761"/>
    <w:rsid w:val="3694098A"/>
    <w:rsid w:val="36FF6DE5"/>
    <w:rsid w:val="37920202"/>
    <w:rsid w:val="37B75A65"/>
    <w:rsid w:val="38222DF0"/>
    <w:rsid w:val="39B03518"/>
    <w:rsid w:val="3A7E52BE"/>
    <w:rsid w:val="3AA2684E"/>
    <w:rsid w:val="3B16260A"/>
    <w:rsid w:val="3C5F2ED5"/>
    <w:rsid w:val="3F375A43"/>
    <w:rsid w:val="41A22D1C"/>
    <w:rsid w:val="41FB58F2"/>
    <w:rsid w:val="43B54A45"/>
    <w:rsid w:val="44C13D25"/>
    <w:rsid w:val="451A4D13"/>
    <w:rsid w:val="461F45F4"/>
    <w:rsid w:val="4624790D"/>
    <w:rsid w:val="46B864B2"/>
    <w:rsid w:val="46FF153C"/>
    <w:rsid w:val="47F40CED"/>
    <w:rsid w:val="48023F20"/>
    <w:rsid w:val="482400FD"/>
    <w:rsid w:val="485F0A38"/>
    <w:rsid w:val="494135D3"/>
    <w:rsid w:val="4A592783"/>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CE44C8E"/>
    <w:rsid w:val="5D88516A"/>
    <w:rsid w:val="5DA464F1"/>
    <w:rsid w:val="5E386B20"/>
    <w:rsid w:val="5E5E3C84"/>
    <w:rsid w:val="5EBC7073"/>
    <w:rsid w:val="5F3250CA"/>
    <w:rsid w:val="60FA4DF7"/>
    <w:rsid w:val="62CF7CC4"/>
    <w:rsid w:val="630A50E0"/>
    <w:rsid w:val="631C6F8C"/>
    <w:rsid w:val="63201C2F"/>
    <w:rsid w:val="6326247B"/>
    <w:rsid w:val="650C7D81"/>
    <w:rsid w:val="668806F3"/>
    <w:rsid w:val="671604B0"/>
    <w:rsid w:val="67F430EF"/>
    <w:rsid w:val="693747D3"/>
    <w:rsid w:val="69587BB4"/>
    <w:rsid w:val="6A18720C"/>
    <w:rsid w:val="6B41644C"/>
    <w:rsid w:val="6C860252"/>
    <w:rsid w:val="6E7F0056"/>
    <w:rsid w:val="6EA3424A"/>
    <w:rsid w:val="6EBB2E18"/>
    <w:rsid w:val="6EE53863"/>
    <w:rsid w:val="6EF449AB"/>
    <w:rsid w:val="70997702"/>
    <w:rsid w:val="7101671C"/>
    <w:rsid w:val="71A6157C"/>
    <w:rsid w:val="71D85D4A"/>
    <w:rsid w:val="722E3CB7"/>
    <w:rsid w:val="72353C60"/>
    <w:rsid w:val="749F1D7E"/>
    <w:rsid w:val="764D5755"/>
    <w:rsid w:val="7AA5773F"/>
    <w:rsid w:val="7B074E04"/>
    <w:rsid w:val="7B411C6E"/>
    <w:rsid w:val="7C362007"/>
    <w:rsid w:val="7C371D7F"/>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5"/>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Body Text"/>
    <w:basedOn w:val="1"/>
    <w:next w:val="7"/>
    <w:semiHidden/>
    <w:unhideWhenUsed/>
    <w:qFormat/>
    <w:uiPriority w:val="99"/>
    <w:pPr>
      <w:spacing w:after="120"/>
    </w:pPr>
  </w:style>
  <w:style w:type="paragraph" w:styleId="7">
    <w:name w:val="toc 5"/>
    <w:basedOn w:val="1"/>
    <w:next w:val="1"/>
    <w:qFormat/>
    <w:uiPriority w:val="0"/>
    <w:pPr>
      <w:ind w:left="840"/>
    </w:pPr>
    <w:rPr>
      <w:kern w:val="1"/>
      <w:sz w:val="18"/>
      <w:szCs w:val="18"/>
    </w:rPr>
  </w:style>
  <w:style w:type="paragraph" w:styleId="8">
    <w:name w:val="Body Text Indent"/>
    <w:basedOn w:val="1"/>
    <w:next w:val="9"/>
    <w:qFormat/>
    <w:uiPriority w:val="0"/>
    <w:pPr>
      <w:snapToGrid w:val="0"/>
      <w:spacing w:line="440" w:lineRule="exact"/>
      <w:ind w:left="1120" w:hanging="1120" w:hangingChars="400"/>
    </w:pPr>
    <w:rPr>
      <w:rFonts w:eastAsia="DFKai-SB"/>
      <w:sz w:val="28"/>
      <w:lang w:eastAsia="zh-TW"/>
    </w:rPr>
  </w:style>
  <w:style w:type="paragraph" w:styleId="9">
    <w:name w:val="envelope return"/>
    <w:basedOn w:val="1"/>
    <w:qFormat/>
    <w:uiPriority w:val="0"/>
    <w:pPr>
      <w:snapToGrid w:val="0"/>
    </w:pPr>
    <w:rPr>
      <w:rFonts w:ascii="Arial" w:hAnsi="Arial"/>
    </w:rPr>
  </w:style>
  <w:style w:type="paragraph" w:styleId="10">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1">
    <w:name w:val="Plain Text"/>
    <w:basedOn w:val="1"/>
    <w:qFormat/>
    <w:uiPriority w:val="0"/>
    <w:pPr>
      <w:jc w:val="left"/>
    </w:pPr>
    <w:rPr>
      <w:rFonts w:ascii="MingLiU" w:hAnsi="Courier New" w:eastAsia="MingLiU"/>
      <w:sz w:val="24"/>
      <w:szCs w:val="20"/>
      <w:lang w:eastAsia="zh-TW"/>
    </w:rPr>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3"/>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lang w:val="zh-CN"/>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8">
    <w:name w:val="Body Text First Indent 2"/>
    <w:basedOn w:val="8"/>
    <w:next w:val="1"/>
    <w:qFormat/>
    <w:uiPriority w:val="0"/>
    <w:pPr>
      <w:ind w:firstLine="420"/>
    </w:pPr>
    <w:rPr>
      <w:rFonts w:ascii="Times New Roman" w:hAnsi="Times New Roman" w:cs="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039BE5"/>
      <w:u w:val="none"/>
    </w:rPr>
  </w:style>
  <w:style w:type="character" w:styleId="24">
    <w:name w:val="HTML Definition"/>
    <w:basedOn w:val="21"/>
    <w:qFormat/>
    <w:uiPriority w:val="0"/>
    <w:rPr>
      <w:i/>
      <w:iCs/>
    </w:rPr>
  </w:style>
  <w:style w:type="character" w:styleId="25">
    <w:name w:val="Hyperlink"/>
    <w:basedOn w:val="21"/>
    <w:qFormat/>
    <w:uiPriority w:val="99"/>
    <w:rPr>
      <w:color w:val="0000FF"/>
      <w:u w:val="single"/>
    </w:rPr>
  </w:style>
  <w:style w:type="character" w:styleId="26">
    <w:name w:val="HTML Code"/>
    <w:basedOn w:val="21"/>
    <w:qFormat/>
    <w:uiPriority w:val="0"/>
    <w:rPr>
      <w:rFonts w:hint="default" w:ascii="Consolas" w:hAnsi="Consolas" w:eastAsia="Consolas" w:cs="Consolas"/>
      <w:color w:val="C7254E"/>
      <w:sz w:val="21"/>
      <w:szCs w:val="21"/>
      <w:shd w:val="clear" w:color="auto" w:fill="F9F2F4"/>
    </w:rPr>
  </w:style>
  <w:style w:type="character" w:styleId="27">
    <w:name w:val="HTML Keyboard"/>
    <w:basedOn w:val="21"/>
    <w:qFormat/>
    <w:uiPriority w:val="0"/>
    <w:rPr>
      <w:rFonts w:ascii="Consolas" w:hAnsi="Consolas" w:eastAsia="Consolas" w:cs="Consolas"/>
      <w:color w:val="FFFFFF"/>
      <w:sz w:val="18"/>
      <w:szCs w:val="18"/>
      <w:shd w:val="clear" w:color="auto" w:fill="333333"/>
    </w:rPr>
  </w:style>
  <w:style w:type="character" w:styleId="28">
    <w:name w:val="HTML Sample"/>
    <w:basedOn w:val="21"/>
    <w:qFormat/>
    <w:uiPriority w:val="0"/>
    <w:rPr>
      <w:rFonts w:hint="default" w:ascii="Consolas" w:hAnsi="Consolas" w:eastAsia="Consolas" w:cs="Consolas"/>
      <w:color w:val="000000"/>
      <w:sz w:val="21"/>
      <w:szCs w:val="21"/>
    </w:rPr>
  </w:style>
  <w:style w:type="paragraph" w:customStyle="1" w:styleId="29">
    <w:name w:val="style4"/>
    <w:basedOn w:val="1"/>
    <w:next w:val="30"/>
    <w:qFormat/>
    <w:uiPriority w:val="0"/>
    <w:pPr>
      <w:spacing w:before="280" w:after="280"/>
    </w:pPr>
    <w:rPr>
      <w:rFonts w:ascii="宋体"/>
      <w:sz w:val="18"/>
    </w:rPr>
  </w:style>
  <w:style w:type="paragraph" w:customStyle="1" w:styleId="30">
    <w:name w:val="2"/>
    <w:basedOn w:val="1"/>
    <w:next w:val="1"/>
    <w:qFormat/>
    <w:uiPriority w:val="0"/>
    <w:pPr>
      <w:spacing w:line="360" w:lineRule="auto"/>
    </w:pPr>
    <w:rPr>
      <w:rFonts w:eastAsia="仿宋_GB2312"/>
      <w:sz w:val="28"/>
      <w:szCs w:val="28"/>
    </w:rPr>
  </w:style>
  <w:style w:type="paragraph" w:customStyle="1" w:styleId="31">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2">
    <w:name w:val="List Paragraph"/>
    <w:basedOn w:val="1"/>
    <w:qFormat/>
    <w:uiPriority w:val="34"/>
    <w:pPr>
      <w:ind w:firstLine="420" w:firstLineChars="200"/>
    </w:pPr>
  </w:style>
  <w:style w:type="character" w:customStyle="1" w:styleId="33">
    <w:name w:val="批注框文本 字符"/>
    <w:basedOn w:val="21"/>
    <w:link w:val="13"/>
    <w:qFormat/>
    <w:uiPriority w:val="0"/>
    <w:rPr>
      <w:kern w:val="2"/>
      <w:sz w:val="18"/>
      <w:szCs w:val="18"/>
    </w:rPr>
  </w:style>
  <w:style w:type="paragraph" w:customStyle="1" w:styleId="3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标题 2 字符"/>
    <w:link w:val="3"/>
    <w:qFormat/>
    <w:uiPriority w:val="9"/>
    <w:rPr>
      <w:rFonts w:ascii="Calibri Light" w:hAnsi="Calibri Light"/>
      <w:b/>
      <w:bCs/>
      <w:sz w:val="32"/>
      <w:szCs w:val="32"/>
    </w:rPr>
  </w:style>
  <w:style w:type="paragraph" w:customStyle="1" w:styleId="37">
    <w:name w:val="普通文字"/>
    <w:basedOn w:val="1"/>
    <w:next w:val="1"/>
    <w:qFormat/>
    <w:uiPriority w:val="99"/>
    <w:rPr>
      <w:rFonts w:ascii="宋体" w:hAnsi="宋体" w:cs="宋体"/>
      <w:kern w:val="0"/>
      <w:sz w:val="24"/>
      <w:u w:color="000000"/>
    </w:rPr>
  </w:style>
  <w:style w:type="paragraph" w:customStyle="1" w:styleId="38">
    <w:name w:val="首行缩进"/>
    <w:basedOn w:val="1"/>
    <w:qFormat/>
    <w:uiPriority w:val="0"/>
    <w:pPr>
      <w:ind w:firstLine="480" w:firstLineChars="200"/>
    </w:pPr>
    <w:rPr>
      <w:lang w:val="zh-CN"/>
    </w:rPr>
  </w:style>
  <w:style w:type="paragraph" w:customStyle="1" w:styleId="39">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40">
    <w:name w:val="小标题 2"/>
    <w:next w:val="41"/>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1">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2">
    <w:name w:val="hover"/>
    <w:basedOn w:val="21"/>
    <w:qFormat/>
    <w:uiPriority w:val="0"/>
    <w:rPr>
      <w:shd w:val="clear" w:color="auto" w:fill="F5F5F5"/>
    </w:rPr>
  </w:style>
  <w:style w:type="character" w:customStyle="1" w:styleId="43">
    <w:name w:val="new"/>
    <w:basedOn w:val="21"/>
    <w:qFormat/>
    <w:uiPriority w:val="0"/>
    <w:rPr>
      <w:color w:val="999999"/>
    </w:rPr>
  </w:style>
  <w:style w:type="character" w:customStyle="1" w:styleId="44">
    <w:name w:val="after"/>
    <w:basedOn w:val="21"/>
    <w:qFormat/>
    <w:uiPriority w:val="0"/>
    <w:rPr>
      <w:rFonts w:hint="default" w:ascii="icomoon" w:hAnsi="icomoon" w:eastAsia="icomoon" w:cs="icomoon"/>
      <w:sz w:val="24"/>
      <w:szCs w:val="24"/>
    </w:rPr>
  </w:style>
  <w:style w:type="character" w:customStyle="1" w:styleId="45">
    <w:name w:val="after1"/>
    <w:basedOn w:val="21"/>
    <w:qFormat/>
    <w:uiPriority w:val="0"/>
    <w:rPr>
      <w:bdr w:val="single" w:color="auto" w:sz="24" w:space="0"/>
    </w:rPr>
  </w:style>
  <w:style w:type="character" w:customStyle="1" w:styleId="46">
    <w:name w:val="after2"/>
    <w:basedOn w:val="21"/>
    <w:qFormat/>
    <w:uiPriority w:val="0"/>
  </w:style>
  <w:style w:type="character" w:customStyle="1" w:styleId="47">
    <w:name w:val="icon-blocked"/>
    <w:basedOn w:val="21"/>
    <w:qFormat/>
    <w:uiPriority w:val="0"/>
    <w:rPr>
      <w:color w:val="F5F5F5"/>
      <w:sz w:val="21"/>
      <w:szCs w:val="21"/>
    </w:rPr>
  </w:style>
  <w:style w:type="character" w:customStyle="1" w:styleId="48">
    <w:name w:val="old"/>
    <w:basedOn w:val="21"/>
    <w:qFormat/>
    <w:uiPriority w:val="0"/>
    <w:rPr>
      <w:color w:val="999999"/>
    </w:rPr>
  </w:style>
  <w:style w:type="paragraph" w:customStyle="1" w:styleId="49">
    <w:name w:val="_Style 43"/>
    <w:basedOn w:val="1"/>
    <w:next w:val="1"/>
    <w:qFormat/>
    <w:uiPriority w:val="0"/>
    <w:pPr>
      <w:pBdr>
        <w:bottom w:val="single" w:color="auto" w:sz="6" w:space="1"/>
      </w:pBdr>
      <w:jc w:val="center"/>
    </w:pPr>
    <w:rPr>
      <w:rFonts w:ascii="Arial" w:eastAsia="宋体"/>
      <w:vanish/>
      <w:sz w:val="16"/>
    </w:rPr>
  </w:style>
  <w:style w:type="paragraph" w:customStyle="1" w:styleId="50">
    <w:name w:val="_Style 44"/>
    <w:basedOn w:val="1"/>
    <w:next w:val="1"/>
    <w:qFormat/>
    <w:uiPriority w:val="0"/>
    <w:pPr>
      <w:pBdr>
        <w:top w:val="single" w:color="auto" w:sz="6" w:space="1"/>
      </w:pBdr>
      <w:jc w:val="center"/>
    </w:pPr>
    <w:rPr>
      <w:rFonts w:ascii="Arial" w:eastAsia="宋体"/>
      <w:vanish/>
      <w:sz w:val="16"/>
    </w:rPr>
  </w:style>
  <w:style w:type="character" w:customStyle="1" w:styleId="51">
    <w:name w:val="hover5"/>
    <w:basedOn w:val="21"/>
    <w:qFormat/>
    <w:uiPriority w:val="0"/>
    <w:rPr>
      <w:shd w:val="clear" w:color="auto" w:fill="F5F5F5"/>
    </w:rPr>
  </w:style>
  <w:style w:type="paragraph" w:customStyle="1" w:styleId="52">
    <w:name w:val="_Style 47"/>
    <w:basedOn w:val="1"/>
    <w:next w:val="1"/>
    <w:qFormat/>
    <w:uiPriority w:val="0"/>
    <w:pPr>
      <w:pBdr>
        <w:bottom w:val="single" w:color="auto" w:sz="6" w:space="1"/>
      </w:pBdr>
      <w:jc w:val="center"/>
    </w:pPr>
    <w:rPr>
      <w:rFonts w:ascii="Arial" w:eastAsia="宋体"/>
      <w:vanish/>
      <w:sz w:val="16"/>
    </w:rPr>
  </w:style>
  <w:style w:type="paragraph" w:customStyle="1" w:styleId="53">
    <w:name w:val="_Style 48"/>
    <w:basedOn w:val="1"/>
    <w:next w:val="1"/>
    <w:qFormat/>
    <w:uiPriority w:val="0"/>
    <w:pPr>
      <w:pBdr>
        <w:top w:val="single" w:color="auto" w:sz="6" w:space="1"/>
      </w:pBdr>
      <w:jc w:val="center"/>
    </w:pPr>
    <w:rPr>
      <w:rFonts w:ascii="Arial" w:eastAsia="宋体"/>
      <w:vanish/>
      <w:sz w:val="16"/>
    </w:rPr>
  </w:style>
  <w:style w:type="paragraph" w:customStyle="1" w:styleId="54">
    <w:name w:val="_正文"/>
    <w:basedOn w:val="1"/>
    <w:qFormat/>
    <w:uiPriority w:val="0"/>
    <w:pPr>
      <w:spacing w:line="360" w:lineRule="auto"/>
      <w:ind w:firstLine="200" w:firstLineChars="200"/>
    </w:pPr>
    <w:rPr>
      <w:rFonts w:eastAsia="微软雅黑"/>
    </w:rPr>
  </w:style>
  <w:style w:type="paragraph" w:customStyle="1" w:styleId="55">
    <w:name w:val="Table Paragraph"/>
    <w:basedOn w:val="1"/>
    <w:qFormat/>
    <w:uiPriority w:val="1"/>
    <w:rPr>
      <w:rFonts w:ascii="宋体" w:hAnsi="宋体" w:cs="宋体"/>
      <w:lang w:val="zh-CN" w:bidi="zh-CN"/>
    </w:rPr>
  </w:style>
  <w:style w:type="paragraph" w:customStyle="1" w:styleId="56">
    <w:name w:val="_Style 51"/>
    <w:basedOn w:val="1"/>
    <w:next w:val="1"/>
    <w:qFormat/>
    <w:uiPriority w:val="0"/>
    <w:pPr>
      <w:pBdr>
        <w:bottom w:val="single" w:color="auto" w:sz="6" w:space="1"/>
      </w:pBdr>
      <w:jc w:val="center"/>
    </w:pPr>
    <w:rPr>
      <w:rFonts w:ascii="Arial" w:eastAsia="宋体"/>
      <w:vanish/>
      <w:sz w:val="16"/>
    </w:rPr>
  </w:style>
  <w:style w:type="paragraph" w:customStyle="1" w:styleId="57">
    <w:name w:val="_Style 52"/>
    <w:basedOn w:val="1"/>
    <w:next w:val="1"/>
    <w:qFormat/>
    <w:uiPriority w:val="0"/>
    <w:pPr>
      <w:pBdr>
        <w:top w:val="single" w:color="auto" w:sz="6" w:space="1"/>
      </w:pBdr>
      <w:jc w:val="center"/>
    </w:pPr>
    <w:rPr>
      <w:rFonts w:ascii="Arial" w:eastAsia="宋体"/>
      <w:vanish/>
      <w:sz w:val="16"/>
    </w:rPr>
  </w:style>
  <w:style w:type="character" w:customStyle="1" w:styleId="58">
    <w:name w:val="hover4"/>
    <w:basedOn w:val="21"/>
    <w:qFormat/>
    <w:uiPriority w:val="0"/>
    <w:rPr>
      <w:shd w:val="clear" w:color="auto" w:fill="F5F5F5"/>
    </w:rPr>
  </w:style>
  <w:style w:type="paragraph" w:customStyle="1" w:styleId="59">
    <w:name w:val="_Style 54"/>
    <w:basedOn w:val="1"/>
    <w:next w:val="1"/>
    <w:qFormat/>
    <w:uiPriority w:val="0"/>
    <w:pPr>
      <w:pBdr>
        <w:bottom w:val="single" w:color="auto" w:sz="6" w:space="1"/>
      </w:pBdr>
      <w:jc w:val="center"/>
    </w:pPr>
    <w:rPr>
      <w:rFonts w:ascii="Arial" w:eastAsia="宋体"/>
      <w:vanish/>
      <w:sz w:val="16"/>
    </w:rPr>
  </w:style>
  <w:style w:type="paragraph" w:customStyle="1" w:styleId="60">
    <w:name w:val="_Style 55"/>
    <w:basedOn w:val="1"/>
    <w:next w:val="1"/>
    <w:qFormat/>
    <w:uiPriority w:val="0"/>
    <w:pPr>
      <w:pBdr>
        <w:top w:val="single" w:color="auto" w:sz="6" w:space="1"/>
      </w:pBdr>
      <w:jc w:val="center"/>
    </w:pPr>
    <w:rPr>
      <w:rFonts w:ascii="Arial" w:eastAsia="宋体"/>
      <w:vanish/>
      <w:sz w:val="16"/>
    </w:rPr>
  </w:style>
  <w:style w:type="character" w:customStyle="1" w:styleId="61">
    <w:name w:val="hover3"/>
    <w:basedOn w:val="21"/>
    <w:qFormat/>
    <w:uiPriority w:val="0"/>
    <w:rPr>
      <w:shd w:val="clear" w:color="auto" w:fill="F5F5F5"/>
    </w:rPr>
  </w:style>
  <w:style w:type="paragraph" w:customStyle="1" w:styleId="62">
    <w:name w:val="_Style 58"/>
    <w:basedOn w:val="1"/>
    <w:next w:val="1"/>
    <w:qFormat/>
    <w:uiPriority w:val="0"/>
    <w:pPr>
      <w:pBdr>
        <w:bottom w:val="single" w:color="auto" w:sz="6" w:space="1"/>
      </w:pBdr>
      <w:jc w:val="center"/>
    </w:pPr>
    <w:rPr>
      <w:rFonts w:ascii="Arial" w:eastAsia="宋体"/>
      <w:vanish/>
      <w:sz w:val="16"/>
    </w:rPr>
  </w:style>
  <w:style w:type="paragraph" w:customStyle="1" w:styleId="63">
    <w:name w:val="_Style 59"/>
    <w:basedOn w:val="1"/>
    <w:next w:val="1"/>
    <w:qFormat/>
    <w:uiPriority w:val="0"/>
    <w:pPr>
      <w:pBdr>
        <w:top w:val="single" w:color="auto" w:sz="6" w:space="1"/>
      </w:pBdr>
      <w:jc w:val="center"/>
    </w:pPr>
    <w:rPr>
      <w:rFonts w:ascii="Arial" w:eastAsia="宋体"/>
      <w:vanish/>
      <w:sz w:val="16"/>
    </w:rPr>
  </w:style>
  <w:style w:type="paragraph" w:customStyle="1" w:styleId="64">
    <w:name w:val="_Style 60"/>
    <w:basedOn w:val="1"/>
    <w:next w:val="1"/>
    <w:qFormat/>
    <w:uiPriority w:val="0"/>
    <w:pPr>
      <w:pBdr>
        <w:bottom w:val="single" w:color="auto" w:sz="6" w:space="1"/>
      </w:pBdr>
      <w:jc w:val="center"/>
    </w:pPr>
    <w:rPr>
      <w:rFonts w:ascii="Arial" w:eastAsia="宋体"/>
      <w:vanish/>
      <w:sz w:val="16"/>
    </w:rPr>
  </w:style>
  <w:style w:type="paragraph" w:customStyle="1" w:styleId="65">
    <w:name w:val="_Style 61"/>
    <w:basedOn w:val="1"/>
    <w:next w:val="1"/>
    <w:qFormat/>
    <w:uiPriority w:val="0"/>
    <w:pPr>
      <w:pBdr>
        <w:top w:val="single" w:color="auto" w:sz="6" w:space="1"/>
      </w:pBdr>
      <w:jc w:val="center"/>
    </w:pPr>
    <w:rPr>
      <w:rFonts w:ascii="Arial" w:eastAsia="宋体"/>
      <w:vanish/>
      <w:sz w:val="16"/>
    </w:rPr>
  </w:style>
  <w:style w:type="paragraph" w:customStyle="1" w:styleId="66">
    <w:name w:val="_Style 62"/>
    <w:basedOn w:val="1"/>
    <w:next w:val="1"/>
    <w:qFormat/>
    <w:uiPriority w:val="0"/>
    <w:pPr>
      <w:pBdr>
        <w:bottom w:val="single" w:color="auto" w:sz="6" w:space="1"/>
      </w:pBdr>
      <w:jc w:val="center"/>
    </w:pPr>
    <w:rPr>
      <w:rFonts w:ascii="Arial" w:eastAsia="宋体"/>
      <w:vanish/>
      <w:sz w:val="16"/>
    </w:rPr>
  </w:style>
  <w:style w:type="paragraph" w:customStyle="1" w:styleId="67">
    <w:name w:val="_Style 63"/>
    <w:basedOn w:val="1"/>
    <w:next w:val="1"/>
    <w:qFormat/>
    <w:uiPriority w:val="0"/>
    <w:pPr>
      <w:pBdr>
        <w:top w:val="single" w:color="auto" w:sz="6" w:space="1"/>
      </w:pBdr>
      <w:jc w:val="center"/>
    </w:pPr>
    <w:rPr>
      <w:rFonts w:ascii="Arial" w:eastAsia="宋体"/>
      <w:vanish/>
      <w:sz w:val="16"/>
    </w:rPr>
  </w:style>
  <w:style w:type="paragraph" w:customStyle="1" w:styleId="68">
    <w:name w:val="_Style 64"/>
    <w:basedOn w:val="1"/>
    <w:next w:val="1"/>
    <w:qFormat/>
    <w:uiPriority w:val="0"/>
    <w:pPr>
      <w:pBdr>
        <w:bottom w:val="single" w:color="auto" w:sz="6" w:space="1"/>
      </w:pBdr>
      <w:jc w:val="center"/>
    </w:pPr>
    <w:rPr>
      <w:rFonts w:ascii="Arial" w:eastAsia="宋体"/>
      <w:vanish/>
      <w:sz w:val="16"/>
    </w:rPr>
  </w:style>
  <w:style w:type="paragraph" w:customStyle="1" w:styleId="69">
    <w:name w:val="_Style 65"/>
    <w:basedOn w:val="1"/>
    <w:next w:val="1"/>
    <w:qFormat/>
    <w:uiPriority w:val="0"/>
    <w:pPr>
      <w:pBdr>
        <w:top w:val="single" w:color="auto" w:sz="6" w:space="1"/>
      </w:pBdr>
      <w:jc w:val="center"/>
    </w:pPr>
    <w:rPr>
      <w:rFonts w:ascii="Arial" w:eastAsia="宋体"/>
      <w:vanish/>
      <w:sz w:val="16"/>
    </w:rPr>
  </w:style>
  <w:style w:type="paragraph" w:customStyle="1" w:styleId="70">
    <w:name w:val="A正文"/>
    <w:basedOn w:val="1"/>
    <w:qFormat/>
    <w:uiPriority w:val="0"/>
    <w:rPr>
      <w:rFonts w:ascii="Times New Roman" w:hAnsi="Times New Roman"/>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6990</Words>
  <Characters>7290</Characters>
  <Lines>80</Lines>
  <Paragraphs>22</Paragraphs>
  <TotalTime>0</TotalTime>
  <ScaleCrop>false</ScaleCrop>
  <LinksUpToDate>false</LinksUpToDate>
  <CharactersWithSpaces>7564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2025-07-11T00:15:27Z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y fmtid="{D5CDD505-2E9C-101B-9397-08002B2CF9AE}" pid="5" name="CWMd84327705d4d11f080004d7a00004d7a">
    <vt:lpwstr>CWMQTAWTMRbw6fmlvk95la/aqrynF8mQc1YlLgL17tOJIYf2FMvl8Vh/JqA8M1dzjeYSWsZkc8MxV5Qr+OaQ1//bw==</vt:lpwstr>
  </property>
</Properties>
</file>