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blPrEx>
          <w:tblCellMar>
            <w:top w:w="0" w:type="dxa"/>
            <w:left w:w="144" w:type="dxa"/>
            <w:bottom w:w="0" w:type="dxa"/>
            <w:right w:w="115" w:type="dxa"/>
          </w:tblCellMar>
        </w:tblPrEx>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383367D6">
            <w:pPr>
              <w:rPr>
                <w:rFonts w:hint="eastAsia" w:ascii="宋体" w:hAnsi="宋体"/>
                <w:sz w:val="32"/>
                <w:szCs w:val="32"/>
                <w:lang w:val="en-US" w:eastAsia="zh-CN"/>
              </w:rPr>
            </w:pPr>
            <w:r>
              <w:rPr>
                <w:rFonts w:hint="eastAsia" w:ascii="宋体" w:hAnsi="宋体"/>
                <w:sz w:val="32"/>
                <w:szCs w:val="32"/>
              </w:rPr>
              <w:t>项目名称：</w:t>
            </w:r>
            <w:r>
              <w:rPr>
                <w:rFonts w:hint="eastAsia" w:ascii="宋体" w:hAnsi="宋体" w:eastAsia="宋体" w:cs="宋体"/>
                <w:sz w:val="32"/>
              </w:rPr>
              <w:t>江南大学蠡湖家园学生宿舍有线宽带服务</w:t>
            </w: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2025006</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5</w:t>
            </w:r>
            <w:r>
              <w:rPr>
                <w:rFonts w:ascii="宋体" w:hAnsi="宋体"/>
                <w:kern w:val="0"/>
                <w:sz w:val="32"/>
                <w:highlight w:val="none"/>
              </w:rPr>
              <w:t>年</w:t>
            </w:r>
            <w:r>
              <w:rPr>
                <w:rFonts w:hint="eastAsia" w:ascii="宋体" w:hAnsi="宋体"/>
                <w:kern w:val="0"/>
                <w:sz w:val="32"/>
                <w:highlight w:val="none"/>
                <w:lang w:val="en-US" w:eastAsia="zh-CN"/>
              </w:rPr>
              <w:t>7</w:t>
            </w:r>
            <w:r>
              <w:rPr>
                <w:rFonts w:ascii="宋体" w:hAnsi="宋体"/>
                <w:kern w:val="0"/>
                <w:sz w:val="32"/>
                <w:highlight w:val="none"/>
              </w:rPr>
              <w:t>月</w:t>
            </w:r>
            <w:r>
              <w:rPr>
                <w:rFonts w:hint="eastAsia" w:ascii="宋体" w:hAnsi="宋体"/>
                <w:kern w:val="0"/>
                <w:sz w:val="32"/>
                <w:highlight w:val="none"/>
                <w:lang w:val="en-US" w:eastAsia="zh-CN"/>
              </w:rPr>
              <w:t>11</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3"/>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spacing w:val="4"/>
          <w:sz w:val="24"/>
          <w:u w:val="single"/>
        </w:rPr>
        <w:t>江南大学蠡湖家园学生宿舍有线宽带服务</w:t>
      </w:r>
      <w:r>
        <w:rPr>
          <w:rFonts w:hint="eastAsia" w:ascii="宋体" w:hAnsi="宋体"/>
          <w:spacing w:val="4"/>
          <w:sz w:val="24"/>
        </w:rPr>
        <w:t>进行校内分散采购，现予以公告，欢迎潜在的供应商参</w:t>
      </w:r>
      <w:r>
        <w:rPr>
          <w:rFonts w:ascii="宋体" w:hAnsi="宋体" w:eastAsia="宋体" w:cs="宋体"/>
          <w:sz w:val="24"/>
        </w:rPr>
        <w:t>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信息化项目名称：江南大学蠡湖家园学生宿舍有线宽带服务</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2025006</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9万元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bookmarkStart w:id="21" w:name="_GoBack"/>
      <w:bookmarkEnd w:id="21"/>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2025年7月17日14时00分。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3"/>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3"/>
        <w:jc w:val="center"/>
        <w:rPr>
          <w:rFonts w:ascii="宋体" w:hAnsi="宋体"/>
        </w:rPr>
      </w:pPr>
      <w:r>
        <w:rPr>
          <w:rFonts w:hint="eastAsia" w:ascii="宋体" w:hAnsi="宋体"/>
        </w:rPr>
        <w:t>第二部分 供应商须知</w:t>
      </w:r>
      <w:bookmarkEnd w:id="1"/>
    </w:p>
    <w:p w14:paraId="681D04D3">
      <w:pPr>
        <w:pStyle w:val="4"/>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4"/>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4"/>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hint="eastAsia" w:ascii="宋体" w:hAnsi="宋体" w:eastAsia="宋体" w:cs="宋体"/>
          <w:bCs/>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5443B04D">
      <w:pPr>
        <w:pStyle w:val="2"/>
        <w:ind w:firstLine="480" w:firstLineChars="200"/>
      </w:pP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w:t>
      </w:r>
      <w:r>
        <w:rPr>
          <w:rFonts w:hint="eastAsia" w:ascii="宋体" w:hAnsi="宋体"/>
          <w:bCs/>
          <w:sz w:val="24"/>
          <w:lang w:val="en-US" w:eastAsia="zh-CN"/>
        </w:rPr>
        <w:t>投标单位具备</w:t>
      </w:r>
      <w:r>
        <w:rPr>
          <w:rFonts w:hint="eastAsia" w:ascii="宋体" w:hAnsi="宋体"/>
          <w:sz w:val="24"/>
        </w:rPr>
        <w:t>《中华人民共和国基础电信业务经营许可证》</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4"/>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4"/>
        <w:numPr>
          <w:ilvl w:val="0"/>
          <w:numId w:val="4"/>
        </w:numPr>
        <w:spacing w:before="0" w:after="0" w:line="420" w:lineRule="auto"/>
        <w:rPr>
          <w:rFonts w:ascii="宋体" w:hAnsi="宋体"/>
        </w:rPr>
      </w:pPr>
      <w:bookmarkStart w:id="6" w:name="_Toc5570"/>
      <w:bookmarkStart w:id="7" w:name="_Toc15601"/>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4"/>
        <w:numPr>
          <w:ilvl w:val="0"/>
          <w:numId w:val="4"/>
        </w:numPr>
        <w:spacing w:before="0" w:after="0" w:line="420" w:lineRule="auto"/>
        <w:rPr>
          <w:rFonts w:ascii="宋体" w:hAnsi="宋体"/>
        </w:rPr>
      </w:pPr>
      <w:bookmarkStart w:id="8" w:name="_Toc7072"/>
      <w:bookmarkStart w:id="9" w:name="_Toc20318"/>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73C2788C">
      <w:pPr>
        <w:pStyle w:val="3"/>
        <w:keepNext/>
        <w:keepLines/>
        <w:pageBreakBefore w:val="0"/>
        <w:widowControl w:val="0"/>
        <w:numPr>
          <w:ilvl w:val="0"/>
          <w:numId w:val="6"/>
        </w:numPr>
        <w:kinsoku/>
        <w:wordWrap/>
        <w:overflowPunct/>
        <w:topLinePunct w:val="0"/>
        <w:autoSpaceDE/>
        <w:autoSpaceDN/>
        <w:bidi w:val="0"/>
        <w:adjustRightInd/>
        <w:snapToGrid/>
        <w:spacing w:before="100" w:line="360" w:lineRule="auto"/>
        <w:jc w:val="center"/>
        <w:textAlignment w:val="auto"/>
        <w:rPr>
          <w:rFonts w:hint="eastAsia"/>
          <w:lang w:val="en-US" w:eastAsia="zh-CN"/>
        </w:rPr>
      </w:pPr>
      <w:r>
        <w:rPr>
          <w:rFonts w:hint="eastAsia"/>
          <w:lang w:val="en-US" w:eastAsia="zh-CN"/>
        </w:rPr>
        <w:t>采购需求</w:t>
      </w:r>
    </w:p>
    <w:p w14:paraId="30A4B7E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蠡湖家园内新改造学生宿舍132户，每户入住4-6名学生。为满足宿舍内有线上网的需求，投标方须提供有线宽带及8口交换机（或路由器）等必需的设备，并负责安装调试：将调制解调器和交换机（或路由器）安装在信息箱内（投标人应到现场实地勘测，确保相关设备能够安装在信息箱内）；将上网账号和密码配置在调制解调器或路由器中，自动拨号上网；开启DHCP功能，以便学生插入网线自动获取IP地址后即可访问互联网。做好日常维护和故障修复工作，保障用户的正常使用。</w:t>
      </w:r>
    </w:p>
    <w:p w14:paraId="09B29DD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0" w:firstLineChars="200"/>
        <w:jc w:val="both"/>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投标方需提供有线宽带服务的分项报价，包括：初装费（一次性，含光纤敷设及入户、设备安装调试等费用）、宽带租赁费（25个月，含合同期内的维护费用）、交换机（或路由器）费用、税费等所有费用。</w:t>
      </w:r>
    </w:p>
    <w:p w14:paraId="525A9E93">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cs="宋体" w:eastAsiaTheme="minorEastAsia"/>
          <w:b/>
          <w:bCs w:val="0"/>
          <w:kern w:val="2"/>
          <w:sz w:val="24"/>
          <w:szCs w:val="24"/>
          <w:lang w:val="en-US" w:eastAsia="zh-CN" w:bidi="ar-SA"/>
        </w:rPr>
      </w:pPr>
      <w:r>
        <w:rPr>
          <w:rFonts w:hint="eastAsia" w:ascii="宋体" w:hAnsi="宋体" w:cs="宋体" w:eastAsiaTheme="minorEastAsia"/>
          <w:b/>
          <w:bCs w:val="0"/>
          <w:kern w:val="2"/>
          <w:sz w:val="24"/>
          <w:szCs w:val="24"/>
          <w:lang w:val="en-US" w:eastAsia="zh-CN" w:bidi="ar-SA"/>
        </w:rPr>
        <w:t>技术指标</w:t>
      </w:r>
      <w:r>
        <w:rPr>
          <w:rFonts w:hint="eastAsia" w:ascii="宋体" w:hAnsi="宋体" w:cs="宋体"/>
          <w:b/>
          <w:bCs w:val="0"/>
          <w:kern w:val="2"/>
          <w:sz w:val="24"/>
          <w:szCs w:val="24"/>
          <w:lang w:val="en-US" w:eastAsia="zh-CN" w:bidi="ar-SA"/>
        </w:rPr>
        <w:t>如下：</w:t>
      </w:r>
    </w:p>
    <w:p w14:paraId="79823E1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（一）网络出口带宽需求</w:t>
      </w:r>
    </w:p>
    <w:p w14:paraId="149536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投标方提供不低于每户200 Mbps的网络出口带宽。</w:t>
      </w:r>
    </w:p>
    <w:p w14:paraId="3B6ACBE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（二）硬件支持及维护</w:t>
      </w:r>
    </w:p>
    <w:p w14:paraId="0B1CD71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1、投标方须免费提供调制解调器，供招标方在服务期内使用。调制解调器产权归投标方所有，服务期满后可收回。</w:t>
      </w:r>
    </w:p>
    <w:p w14:paraId="6C73C74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2、投标方须提供8口交换机（或路由器），接口形式为RJ45，用于每个宿舍内学生的有线上网。若投标方免费提供交换机（或路由器），则产权归投标方所有，服务期满后可收回；否则该费用须体现在分项报价中，产权归招标方所有。交换机（或路由器）的技术指标不低于如下所示：</w:t>
      </w:r>
    </w:p>
    <w:tbl>
      <w:tblPr>
        <w:tblStyle w:val="20"/>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683"/>
      </w:tblGrid>
      <w:tr w14:paraId="4D23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30B18ED2">
            <w:pPr>
              <w:rPr>
                <w:rFonts w:hint="eastAsia" w:ascii="宋体" w:hAnsi="宋体" w:cs="宋体"/>
                <w:b/>
                <w:sz w:val="24"/>
                <w:szCs w:val="20"/>
              </w:rPr>
            </w:pPr>
            <w:r>
              <w:rPr>
                <w:rFonts w:hint="eastAsia" w:ascii="宋体" w:hAnsi="宋体" w:cs="宋体"/>
                <w:b/>
                <w:sz w:val="24"/>
                <w:szCs w:val="20"/>
              </w:rPr>
              <w:t>参数</w:t>
            </w:r>
          </w:p>
        </w:tc>
        <w:tc>
          <w:tcPr>
            <w:tcW w:w="6683" w:type="dxa"/>
            <w:shd w:val="clear" w:color="auto" w:fill="auto"/>
            <w:vAlign w:val="center"/>
          </w:tcPr>
          <w:p w14:paraId="26C0CA75">
            <w:pPr>
              <w:rPr>
                <w:rFonts w:hint="eastAsia" w:ascii="宋体" w:hAnsi="宋体" w:cs="宋体"/>
                <w:b/>
                <w:sz w:val="24"/>
                <w:szCs w:val="20"/>
              </w:rPr>
            </w:pPr>
            <w:r>
              <w:rPr>
                <w:rFonts w:hint="eastAsia" w:ascii="宋体" w:hAnsi="宋体" w:cs="宋体"/>
                <w:b/>
                <w:sz w:val="24"/>
                <w:szCs w:val="20"/>
              </w:rPr>
              <w:t>指标</w:t>
            </w:r>
          </w:p>
        </w:tc>
      </w:tr>
      <w:tr w14:paraId="4D09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6F5E5F14">
            <w:pPr>
              <w:rPr>
                <w:rFonts w:hint="eastAsia" w:ascii="宋体" w:hAnsi="宋体" w:cs="宋体"/>
                <w:sz w:val="24"/>
                <w:szCs w:val="20"/>
              </w:rPr>
            </w:pPr>
            <w:r>
              <w:rPr>
                <w:rFonts w:hint="eastAsia" w:ascii="宋体" w:hAnsi="宋体" w:cs="宋体"/>
                <w:sz w:val="24"/>
                <w:szCs w:val="20"/>
              </w:rPr>
              <w:t>协议标准</w:t>
            </w:r>
          </w:p>
        </w:tc>
        <w:tc>
          <w:tcPr>
            <w:tcW w:w="6683" w:type="dxa"/>
            <w:shd w:val="clear" w:color="auto" w:fill="auto"/>
            <w:vAlign w:val="center"/>
          </w:tcPr>
          <w:p w14:paraId="12727BF4">
            <w:pPr>
              <w:rPr>
                <w:rFonts w:hint="eastAsia" w:ascii="宋体" w:hAnsi="宋体" w:cs="宋体"/>
                <w:sz w:val="24"/>
                <w:szCs w:val="20"/>
              </w:rPr>
            </w:pPr>
            <w:r>
              <w:rPr>
                <w:rFonts w:hint="eastAsia" w:ascii="宋体" w:hAnsi="宋体" w:cs="宋体"/>
                <w:sz w:val="24"/>
                <w:szCs w:val="20"/>
              </w:rPr>
              <w:t>IEEE802.3、IEEE802.3u、IEEE802.3x</w:t>
            </w:r>
          </w:p>
        </w:tc>
      </w:tr>
      <w:tr w14:paraId="4CA5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11A9989C">
            <w:pPr>
              <w:rPr>
                <w:rFonts w:hint="eastAsia" w:ascii="宋体" w:hAnsi="宋体" w:cs="宋体"/>
                <w:sz w:val="24"/>
                <w:szCs w:val="20"/>
              </w:rPr>
            </w:pPr>
            <w:r>
              <w:rPr>
                <w:rFonts w:hint="eastAsia" w:ascii="宋体" w:hAnsi="宋体" w:cs="宋体"/>
                <w:sz w:val="24"/>
                <w:szCs w:val="20"/>
              </w:rPr>
              <w:t>端口类型</w:t>
            </w:r>
          </w:p>
        </w:tc>
        <w:tc>
          <w:tcPr>
            <w:tcW w:w="6683" w:type="dxa"/>
            <w:shd w:val="clear" w:color="auto" w:fill="auto"/>
            <w:vAlign w:val="center"/>
          </w:tcPr>
          <w:p w14:paraId="3250464E">
            <w:pPr>
              <w:rPr>
                <w:rFonts w:hint="eastAsia" w:ascii="宋体" w:hAnsi="宋体" w:cs="宋体"/>
                <w:sz w:val="24"/>
                <w:szCs w:val="20"/>
              </w:rPr>
            </w:pPr>
            <w:r>
              <w:rPr>
                <w:rFonts w:hint="eastAsia" w:ascii="宋体" w:hAnsi="宋体" w:cs="宋体"/>
                <w:sz w:val="24"/>
                <w:szCs w:val="20"/>
              </w:rPr>
              <w:t>RJ45</w:t>
            </w:r>
          </w:p>
        </w:tc>
      </w:tr>
      <w:tr w14:paraId="2544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13FE213E">
            <w:pPr>
              <w:rPr>
                <w:rFonts w:hint="eastAsia" w:ascii="宋体" w:hAnsi="宋体" w:cs="宋体"/>
                <w:sz w:val="24"/>
                <w:szCs w:val="20"/>
              </w:rPr>
            </w:pPr>
            <w:r>
              <w:rPr>
                <w:rFonts w:hint="eastAsia" w:ascii="宋体" w:hAnsi="宋体" w:cs="宋体"/>
                <w:sz w:val="24"/>
                <w:szCs w:val="20"/>
              </w:rPr>
              <w:t>端口数量</w:t>
            </w:r>
          </w:p>
        </w:tc>
        <w:tc>
          <w:tcPr>
            <w:tcW w:w="6683" w:type="dxa"/>
            <w:shd w:val="clear" w:color="auto" w:fill="auto"/>
            <w:vAlign w:val="center"/>
          </w:tcPr>
          <w:p w14:paraId="174DF888">
            <w:pPr>
              <w:rPr>
                <w:rFonts w:hint="eastAsia" w:ascii="宋体" w:hAnsi="宋体" w:cs="宋体"/>
                <w:sz w:val="24"/>
                <w:szCs w:val="20"/>
              </w:rPr>
            </w:pPr>
            <w:r>
              <w:rPr>
                <w:rFonts w:hint="eastAsia" w:ascii="宋体" w:hAnsi="宋体" w:cs="宋体"/>
                <w:sz w:val="24"/>
                <w:szCs w:val="20"/>
              </w:rPr>
              <w:t>≥8个</w:t>
            </w:r>
          </w:p>
        </w:tc>
      </w:tr>
      <w:tr w14:paraId="0C3F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4249F97B">
            <w:pPr>
              <w:rPr>
                <w:rFonts w:hint="eastAsia" w:ascii="宋体" w:hAnsi="宋体" w:cs="宋体"/>
                <w:sz w:val="24"/>
                <w:szCs w:val="20"/>
              </w:rPr>
            </w:pPr>
            <w:r>
              <w:rPr>
                <w:rFonts w:hint="eastAsia" w:ascii="宋体" w:hAnsi="宋体" w:cs="宋体"/>
                <w:sz w:val="24"/>
                <w:szCs w:val="20"/>
              </w:rPr>
              <w:t>端口速率</w:t>
            </w:r>
          </w:p>
        </w:tc>
        <w:tc>
          <w:tcPr>
            <w:tcW w:w="6683" w:type="dxa"/>
            <w:shd w:val="clear" w:color="auto" w:fill="auto"/>
            <w:vAlign w:val="center"/>
          </w:tcPr>
          <w:p w14:paraId="2AF4CBE9">
            <w:pPr>
              <w:rPr>
                <w:rFonts w:hint="eastAsia" w:ascii="宋体" w:hAnsi="宋体" w:cs="宋体"/>
                <w:sz w:val="24"/>
                <w:szCs w:val="20"/>
              </w:rPr>
            </w:pPr>
            <w:r>
              <w:rPr>
                <w:rFonts w:hint="eastAsia" w:ascii="宋体" w:hAnsi="宋体" w:cs="宋体"/>
                <w:sz w:val="24"/>
                <w:szCs w:val="20"/>
              </w:rPr>
              <w:t>≥100 Mbps</w:t>
            </w:r>
          </w:p>
        </w:tc>
      </w:tr>
      <w:tr w14:paraId="5924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shd w:val="clear" w:color="auto" w:fill="auto"/>
            <w:vAlign w:val="center"/>
          </w:tcPr>
          <w:p w14:paraId="111B2EA5">
            <w:pPr>
              <w:rPr>
                <w:rFonts w:hint="eastAsia" w:ascii="宋体" w:hAnsi="宋体" w:cs="宋体"/>
                <w:sz w:val="24"/>
                <w:szCs w:val="20"/>
              </w:rPr>
            </w:pPr>
            <w:r>
              <w:rPr>
                <w:rFonts w:hint="eastAsia" w:ascii="宋体" w:hAnsi="宋体" w:cs="宋体"/>
                <w:sz w:val="24"/>
                <w:szCs w:val="20"/>
              </w:rPr>
              <w:t>性能要求</w:t>
            </w:r>
          </w:p>
        </w:tc>
        <w:tc>
          <w:tcPr>
            <w:tcW w:w="6683" w:type="dxa"/>
            <w:shd w:val="clear" w:color="auto" w:fill="auto"/>
            <w:vAlign w:val="center"/>
          </w:tcPr>
          <w:p w14:paraId="5AD93074">
            <w:pPr>
              <w:rPr>
                <w:rFonts w:hint="eastAsia" w:ascii="宋体" w:hAnsi="宋体" w:cs="宋体"/>
                <w:sz w:val="24"/>
                <w:szCs w:val="20"/>
              </w:rPr>
            </w:pPr>
            <w:r>
              <w:rPr>
                <w:rFonts w:hint="eastAsia" w:ascii="宋体" w:hAnsi="宋体" w:cs="宋体"/>
                <w:sz w:val="24"/>
                <w:szCs w:val="20"/>
              </w:rPr>
              <w:t>全双工、无阻塞</w:t>
            </w:r>
          </w:p>
        </w:tc>
      </w:tr>
      <w:tr w14:paraId="40B8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0" w:type="auto"/>
            <w:shd w:val="clear" w:color="auto" w:fill="auto"/>
            <w:vAlign w:val="center"/>
          </w:tcPr>
          <w:p w14:paraId="5D07B5CE">
            <w:pPr>
              <w:rPr>
                <w:rFonts w:hint="eastAsia" w:ascii="宋体" w:hAnsi="宋体" w:cs="宋体"/>
                <w:sz w:val="24"/>
                <w:szCs w:val="20"/>
              </w:rPr>
            </w:pPr>
            <w:r>
              <w:rPr>
                <w:rFonts w:hint="eastAsia" w:ascii="宋体" w:hAnsi="宋体" w:cs="宋体"/>
                <w:sz w:val="24"/>
                <w:szCs w:val="20"/>
              </w:rPr>
              <w:t>尺寸（mm）</w:t>
            </w:r>
          </w:p>
        </w:tc>
        <w:tc>
          <w:tcPr>
            <w:tcW w:w="6683" w:type="dxa"/>
            <w:shd w:val="clear" w:color="auto" w:fill="auto"/>
            <w:vAlign w:val="center"/>
          </w:tcPr>
          <w:p w14:paraId="0BD68BA9">
            <w:pPr>
              <w:rPr>
                <w:rFonts w:hint="eastAsia" w:ascii="宋体" w:hAnsi="宋体" w:cs="宋体"/>
                <w:sz w:val="24"/>
                <w:szCs w:val="20"/>
              </w:rPr>
            </w:pPr>
            <w:r>
              <w:rPr>
                <w:rFonts w:hint="eastAsia" w:ascii="宋体" w:hAnsi="宋体" w:cs="宋体"/>
                <w:sz w:val="24"/>
                <w:szCs w:val="20"/>
              </w:rPr>
              <w:t>建议小于2</w:t>
            </w:r>
            <w:r>
              <w:rPr>
                <w:rFonts w:ascii="宋体" w:hAnsi="宋体" w:cs="宋体"/>
                <w:sz w:val="24"/>
                <w:szCs w:val="20"/>
              </w:rPr>
              <w:t>50</w:t>
            </w:r>
            <w:r>
              <w:rPr>
                <w:rFonts w:hint="eastAsia" w:ascii="宋体" w:hAnsi="宋体" w:cs="宋体"/>
                <w:sz w:val="24"/>
                <w:szCs w:val="20"/>
              </w:rPr>
              <w:t>×1</w:t>
            </w:r>
            <w:r>
              <w:rPr>
                <w:rFonts w:ascii="宋体" w:hAnsi="宋体" w:cs="宋体"/>
                <w:sz w:val="24"/>
                <w:szCs w:val="20"/>
              </w:rPr>
              <w:t>50</w:t>
            </w:r>
            <w:r>
              <w:rPr>
                <w:rFonts w:hint="eastAsia" w:ascii="宋体" w:hAnsi="宋体" w:cs="宋体"/>
                <w:sz w:val="24"/>
                <w:szCs w:val="20"/>
              </w:rPr>
              <w:t>×3</w:t>
            </w:r>
            <w:r>
              <w:rPr>
                <w:rFonts w:ascii="宋体" w:hAnsi="宋体" w:cs="宋体"/>
                <w:sz w:val="24"/>
                <w:szCs w:val="20"/>
              </w:rPr>
              <w:t>5,</w:t>
            </w:r>
            <w:r>
              <w:rPr>
                <w:rFonts w:hint="eastAsia" w:ascii="宋体" w:hAnsi="宋体" w:cs="宋体"/>
                <w:sz w:val="24"/>
                <w:szCs w:val="20"/>
              </w:rPr>
              <w:t>以能够安装于信息箱内为准</w:t>
            </w:r>
          </w:p>
        </w:tc>
      </w:tr>
    </w:tbl>
    <w:p w14:paraId="04251478">
      <w:pPr>
        <w:spacing w:line="360" w:lineRule="auto"/>
        <w:ind w:firstLine="480" w:firstLineChars="200"/>
        <w:rPr>
          <w:sz w:val="24"/>
        </w:rPr>
      </w:pPr>
      <w:r>
        <w:rPr>
          <w:rFonts w:hint="eastAsia"/>
          <w:sz w:val="24"/>
        </w:rPr>
        <w:t>（三）运维服务及设备维护</w:t>
      </w:r>
    </w:p>
    <w:p w14:paraId="1D8EF4A5">
      <w:pPr>
        <w:spacing w:line="360" w:lineRule="auto"/>
        <w:ind w:firstLine="480" w:firstLineChars="200"/>
        <w:rPr>
          <w:sz w:val="24"/>
        </w:rPr>
      </w:pPr>
      <w:r>
        <w:rPr>
          <w:rFonts w:hint="eastAsia"/>
          <w:sz w:val="24"/>
        </w:rPr>
        <w:t>1、投标方负责提供优质高效的有线宽带运维服务，提供7×24小时电话技术支持和故障申告服务。学生在使用有线宽带过程中遇到的任何问题均可申告。必须在30分钟内响应，1小时内到达现场。故障恢复时间一般小于24小时，最长不超过48小时。</w:t>
      </w:r>
    </w:p>
    <w:p w14:paraId="104C2880">
      <w:pPr>
        <w:spacing w:line="360" w:lineRule="auto"/>
        <w:ind w:firstLine="480" w:firstLineChars="200"/>
        <w:rPr>
          <w:rFonts w:hint="eastAsia"/>
          <w:sz w:val="24"/>
        </w:rPr>
      </w:pPr>
      <w:r>
        <w:rPr>
          <w:rFonts w:hint="eastAsia"/>
          <w:sz w:val="24"/>
        </w:rPr>
        <w:t>2、投标方负责调制解调器、路由器、网线、网络面板等设备的维护，提供直至用户网络面板的运维服务，包括硬件故障和软件配置问题等，保证学生能正常上网。</w:t>
      </w:r>
    </w:p>
    <w:p w14:paraId="02BD8860">
      <w:pPr>
        <w:pStyle w:val="2"/>
        <w:rPr>
          <w:rFonts w:hint="eastAsia"/>
          <w:sz w:val="24"/>
        </w:rPr>
      </w:pPr>
    </w:p>
    <w:p w14:paraId="4D63A951">
      <w:pPr>
        <w:pStyle w:val="2"/>
        <w:rPr>
          <w:rFonts w:hint="eastAsia"/>
          <w:sz w:val="24"/>
        </w:rPr>
      </w:pPr>
    </w:p>
    <w:p w14:paraId="24460143">
      <w:pPr>
        <w:keepNext w:val="0"/>
        <w:keepLines w:val="0"/>
        <w:pageBreakBefore w:val="0"/>
        <w:widowControl w:val="0"/>
        <w:kinsoku/>
        <w:wordWrap/>
        <w:overflowPunct/>
        <w:topLinePunct w:val="0"/>
        <w:autoSpaceDE/>
        <w:autoSpaceDN/>
        <w:bidi w:val="0"/>
        <w:adjustRightInd/>
        <w:spacing w:line="360" w:lineRule="auto"/>
        <w:jc w:val="center"/>
        <w:textAlignment w:val="auto"/>
        <w:rPr>
          <w:b/>
          <w:bCs/>
          <w:sz w:val="44"/>
          <w:szCs w:val="44"/>
        </w:rPr>
      </w:pPr>
      <w:r>
        <w:rPr>
          <w:rFonts w:hint="eastAsia"/>
          <w:b/>
          <w:bCs/>
          <w:sz w:val="44"/>
          <w:szCs w:val="44"/>
        </w:rPr>
        <w:t>第四部分 合同主要条款</w:t>
      </w:r>
    </w:p>
    <w:p w14:paraId="762491A1">
      <w:pPr>
        <w:spacing w:line="360" w:lineRule="auto"/>
        <w:ind w:firstLine="482" w:firstLineChars="200"/>
        <w:rPr>
          <w:b/>
          <w:sz w:val="24"/>
        </w:rPr>
      </w:pPr>
      <w:bookmarkStart w:id="10" w:name="_Toc498632778"/>
      <w:bookmarkStart w:id="11" w:name="_Toc511029427"/>
      <w:r>
        <w:rPr>
          <w:rFonts w:hint="eastAsia"/>
          <w:b/>
          <w:sz w:val="24"/>
        </w:rPr>
        <w:t>一、服务期限</w:t>
      </w:r>
    </w:p>
    <w:p w14:paraId="73F3B902">
      <w:pPr>
        <w:spacing w:line="360" w:lineRule="auto"/>
        <w:ind w:firstLine="480" w:firstLineChars="200"/>
        <w:rPr>
          <w:sz w:val="24"/>
        </w:rPr>
      </w:pPr>
      <w:r>
        <w:rPr>
          <w:rFonts w:hint="eastAsia"/>
          <w:sz w:val="24"/>
        </w:rPr>
        <w:t>本项目服务期为25个月，自2025年9月1日起至2027年9月30日终止。</w:t>
      </w:r>
    </w:p>
    <w:p w14:paraId="680D74BD">
      <w:pPr>
        <w:spacing w:line="360" w:lineRule="auto"/>
        <w:ind w:firstLine="540" w:firstLineChars="224"/>
        <w:rPr>
          <w:b/>
          <w:sz w:val="24"/>
        </w:rPr>
      </w:pPr>
      <w:r>
        <w:rPr>
          <w:rFonts w:hint="eastAsia"/>
          <w:b/>
          <w:sz w:val="24"/>
        </w:rPr>
        <w:t>二、付款方式</w:t>
      </w:r>
    </w:p>
    <w:p w14:paraId="67446FF8">
      <w:pPr>
        <w:spacing w:line="360" w:lineRule="auto"/>
        <w:ind w:firstLine="480" w:firstLineChars="200"/>
        <w:rPr>
          <w:sz w:val="24"/>
        </w:rPr>
      </w:pPr>
      <w:r>
        <w:rPr>
          <w:rFonts w:hint="eastAsia"/>
          <w:sz w:val="24"/>
        </w:rPr>
        <w:t>采用预付费模式。验收合格进入服务期后，甲方于2025年9月向乙方支付13个月的费用，于2026年9月向乙方支付剩余12个月的费用。乙方须先提供增值税普通发票，甲方于收到发票后的10个工作日内完成支付。</w:t>
      </w:r>
    </w:p>
    <w:p w14:paraId="478859DB">
      <w:pPr>
        <w:spacing w:line="360" w:lineRule="auto"/>
        <w:ind w:firstLine="482" w:firstLineChars="200"/>
        <w:rPr>
          <w:b/>
          <w:sz w:val="24"/>
        </w:rPr>
      </w:pPr>
      <w:r>
        <w:rPr>
          <w:rFonts w:hint="eastAsia"/>
          <w:b/>
          <w:sz w:val="24"/>
        </w:rPr>
        <w:t>三、工期要求</w:t>
      </w:r>
    </w:p>
    <w:p w14:paraId="54EBFB74">
      <w:pPr>
        <w:spacing w:line="360" w:lineRule="auto"/>
        <w:ind w:firstLine="480" w:firstLineChars="200"/>
        <w:rPr>
          <w:sz w:val="24"/>
        </w:rPr>
      </w:pPr>
      <w:r>
        <w:rPr>
          <w:rFonts w:hint="eastAsia"/>
          <w:sz w:val="24"/>
        </w:rPr>
        <w:t>合同签订后，乙方应在10个工作日内完成有线宽带的施工调试，交付甲方使用。</w:t>
      </w:r>
    </w:p>
    <w:p w14:paraId="7C1A6342">
      <w:pPr>
        <w:spacing w:line="360" w:lineRule="auto"/>
        <w:ind w:firstLine="482" w:firstLineChars="200"/>
        <w:rPr>
          <w:b/>
          <w:sz w:val="24"/>
        </w:rPr>
      </w:pPr>
      <w:r>
        <w:rPr>
          <w:rFonts w:hint="eastAsia"/>
          <w:b/>
          <w:sz w:val="24"/>
        </w:rPr>
        <w:t>四、违约责任</w:t>
      </w:r>
    </w:p>
    <w:p w14:paraId="1B5EDE2E">
      <w:pPr>
        <w:spacing w:line="360" w:lineRule="auto"/>
        <w:ind w:firstLine="480" w:firstLineChars="200"/>
        <w:rPr>
          <w:sz w:val="24"/>
        </w:rPr>
      </w:pPr>
      <w:r>
        <w:rPr>
          <w:rFonts w:hint="eastAsia"/>
          <w:sz w:val="24"/>
        </w:rPr>
        <w:t>中标人如未按合同条款履行维保义务，导致设备或线路缺乏维护保养而发生事故，对由此而产生的损失由中标人承担全部责任，招标人有权保留追究中标人其它法律责任的权利。</w:t>
      </w:r>
    </w:p>
    <w:p w14:paraId="217E4049">
      <w:pPr>
        <w:spacing w:line="360" w:lineRule="auto"/>
        <w:ind w:firstLine="482" w:firstLineChars="200"/>
        <w:rPr>
          <w:b/>
          <w:sz w:val="24"/>
        </w:rPr>
      </w:pPr>
      <w:r>
        <w:rPr>
          <w:rFonts w:hint="eastAsia"/>
          <w:b/>
          <w:sz w:val="24"/>
        </w:rPr>
        <w:t>五、其他</w:t>
      </w:r>
    </w:p>
    <w:p w14:paraId="0375057E">
      <w:pPr>
        <w:pStyle w:val="69"/>
      </w:pPr>
      <w:r>
        <w:rPr>
          <w:rFonts w:hint="eastAsia"/>
        </w:rPr>
        <w:t>若投标方免费提供交换机（或路由器），则产权归投标方所有，服务期满后可收回；否则该费用须体现在分项报价中，产权归招标方所有。</w:t>
      </w:r>
    </w:p>
    <w:p w14:paraId="7B8E7C46">
      <w:pPr>
        <w:rPr>
          <w:rFonts w:hint="eastAsia" w:asciiTheme="minorEastAsia" w:hAnsiTheme="minorEastAsia"/>
          <w:sz w:val="44"/>
          <w:szCs w:val="44"/>
        </w:rPr>
      </w:pPr>
      <w:r>
        <w:rPr>
          <w:rFonts w:hint="eastAsia" w:asciiTheme="minorEastAsia" w:hAnsiTheme="minorEastAsia"/>
          <w:sz w:val="44"/>
          <w:szCs w:val="44"/>
        </w:rPr>
        <w:br w:type="page"/>
      </w:r>
    </w:p>
    <w:p w14:paraId="4A9A1CA2">
      <w:pPr>
        <w:pStyle w:val="4"/>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14:paraId="271A76F7">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3"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359FAD42">
      <w:pPr>
        <w:rPr>
          <w:rFonts w:ascii="宋体" w:hAnsi="宋体"/>
          <w:szCs w:val="21"/>
        </w:rPr>
      </w:pPr>
    </w:p>
    <w:p w14:paraId="7878E69C">
      <w:pPr>
        <w:rPr>
          <w:rFonts w:ascii="宋体" w:hAnsi="宋体"/>
          <w:szCs w:val="21"/>
        </w:rPr>
      </w:pPr>
    </w:p>
    <w:p w14:paraId="0F64BB7F">
      <w:pPr>
        <w:rPr>
          <w:rFonts w:ascii="宋体" w:hAnsi="宋体"/>
          <w:szCs w:val="21"/>
        </w:rPr>
      </w:pPr>
    </w:p>
    <w:p w14:paraId="607BB0F6">
      <w:pPr>
        <w:rPr>
          <w:rFonts w:ascii="宋体" w:hAnsi="宋体"/>
          <w:szCs w:val="21"/>
        </w:rPr>
      </w:pPr>
    </w:p>
    <w:p w14:paraId="3E78EC2E">
      <w:pPr>
        <w:rPr>
          <w:rFonts w:ascii="宋体" w:hAnsi="宋体"/>
          <w:szCs w:val="21"/>
        </w:rPr>
      </w:pPr>
    </w:p>
    <w:p w14:paraId="50415819">
      <w:pPr>
        <w:rPr>
          <w:rFonts w:ascii="宋体" w:hAnsi="宋体"/>
          <w:szCs w:val="21"/>
        </w:rPr>
      </w:pPr>
    </w:p>
    <w:p w14:paraId="7E2E1144">
      <w:pPr>
        <w:rPr>
          <w:rFonts w:ascii="宋体" w:hAnsi="宋体"/>
          <w:szCs w:val="21"/>
        </w:rPr>
      </w:pPr>
    </w:p>
    <w:p w14:paraId="0F618FB2">
      <w:pPr>
        <w:rPr>
          <w:rFonts w:ascii="宋体" w:hAnsi="宋体"/>
          <w:szCs w:val="21"/>
        </w:rPr>
      </w:pPr>
    </w:p>
    <w:p w14:paraId="2144202A">
      <w:pPr>
        <w:rPr>
          <w:rFonts w:ascii="宋体" w:hAnsi="宋体"/>
          <w:szCs w:val="21"/>
        </w:rPr>
      </w:pPr>
    </w:p>
    <w:p w14:paraId="635A115E"/>
    <w:p w14:paraId="5BBB980E">
      <w:pPr>
        <w:rPr>
          <w:rFonts w:ascii="宋体" w:hAnsi="宋体"/>
          <w:szCs w:val="21"/>
        </w:rPr>
      </w:pPr>
    </w:p>
    <w:p w14:paraId="7C0ABF32">
      <w:pPr>
        <w:rPr>
          <w:rFonts w:ascii="宋体" w:hAnsi="宋体"/>
          <w:szCs w:val="21"/>
        </w:rPr>
      </w:pPr>
    </w:p>
    <w:p w14:paraId="1A0117B3">
      <w:pPr>
        <w:rPr>
          <w:rFonts w:ascii="宋体" w:hAnsi="宋体"/>
          <w:szCs w:val="21"/>
        </w:rPr>
      </w:pPr>
      <w:r>
        <w:rPr>
          <w:rFonts w:ascii="宋体" w:hAnsi="宋体"/>
          <w:szCs w:val="21"/>
        </w:rPr>
        <w:br w:type="page"/>
      </w:r>
    </w:p>
    <w:p w14:paraId="2D83B107">
      <w:pPr>
        <w:pStyle w:val="4"/>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31BED7C5">
      <w:pPr>
        <w:spacing w:after="156" w:afterLines="50"/>
        <w:rPr>
          <w:sz w:val="52"/>
          <w:szCs w:val="52"/>
        </w:rPr>
      </w:pPr>
    </w:p>
    <w:p w14:paraId="46D5B04F">
      <w:pPr>
        <w:pStyle w:val="4"/>
        <w:spacing w:before="0" w:after="0" w:line="360" w:lineRule="auto"/>
        <w:rPr>
          <w:rFonts w:ascii="宋体" w:hAnsi="宋体"/>
          <w:b w:val="0"/>
          <w:sz w:val="21"/>
          <w:szCs w:val="21"/>
        </w:rPr>
      </w:pPr>
      <w:bookmarkStart w:id="15" w:name="_Toc511743426"/>
      <w:bookmarkStart w:id="16" w:name="_Toc24606"/>
    </w:p>
    <w:p w14:paraId="24402164">
      <w:pPr>
        <w:rPr>
          <w:rFonts w:ascii="宋体" w:hAnsi="宋体"/>
          <w:szCs w:val="21"/>
        </w:rPr>
      </w:pPr>
      <w:r>
        <w:rPr>
          <w:rFonts w:ascii="宋体" w:hAnsi="宋体"/>
          <w:szCs w:val="21"/>
        </w:rPr>
        <w:br w:type="page"/>
      </w:r>
    </w:p>
    <w:p w14:paraId="6DD4F41B">
      <w:pPr>
        <w:pStyle w:val="4"/>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4"/>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3"/>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3"/>
              <w:spacing w:line="240" w:lineRule="atLeast"/>
              <w:jc w:val="center"/>
              <w:rPr>
                <w:rFonts w:asciiTheme="minorEastAsia" w:hAnsiTheme="minorEastAsia" w:eastAsiaTheme="minorEastAsia"/>
                <w:szCs w:val="24"/>
              </w:rPr>
            </w:pPr>
          </w:p>
        </w:tc>
        <w:tc>
          <w:tcPr>
            <w:tcW w:w="3889" w:type="dxa"/>
            <w:vAlign w:val="center"/>
          </w:tcPr>
          <w:p w14:paraId="37385E3A">
            <w:pPr>
              <w:pStyle w:val="13"/>
              <w:spacing w:line="240" w:lineRule="atLeast"/>
              <w:jc w:val="center"/>
              <w:rPr>
                <w:rFonts w:asciiTheme="minorEastAsia" w:hAnsiTheme="minorEastAsia" w:eastAsiaTheme="minorEastAsia"/>
                <w:szCs w:val="24"/>
              </w:rPr>
            </w:pPr>
          </w:p>
        </w:tc>
        <w:tc>
          <w:tcPr>
            <w:tcW w:w="1510" w:type="dxa"/>
            <w:vAlign w:val="center"/>
          </w:tcPr>
          <w:p w14:paraId="1006610D">
            <w:pPr>
              <w:pStyle w:val="13"/>
              <w:spacing w:line="240" w:lineRule="atLeast"/>
              <w:jc w:val="center"/>
              <w:rPr>
                <w:rFonts w:asciiTheme="minorEastAsia" w:hAnsiTheme="minorEastAsia" w:eastAsiaTheme="minorEastAsia"/>
                <w:szCs w:val="24"/>
              </w:rPr>
            </w:pPr>
          </w:p>
        </w:tc>
        <w:tc>
          <w:tcPr>
            <w:tcW w:w="1342" w:type="dxa"/>
            <w:vAlign w:val="center"/>
          </w:tcPr>
          <w:p w14:paraId="726559E8">
            <w:pPr>
              <w:pStyle w:val="13"/>
              <w:spacing w:line="360" w:lineRule="auto"/>
              <w:jc w:val="center"/>
              <w:rPr>
                <w:rFonts w:asciiTheme="minorEastAsia" w:hAnsiTheme="minorEastAsia" w:eastAsiaTheme="minorEastAsia"/>
                <w:szCs w:val="24"/>
              </w:rPr>
            </w:pPr>
          </w:p>
        </w:tc>
        <w:tc>
          <w:tcPr>
            <w:tcW w:w="1229" w:type="dxa"/>
            <w:vAlign w:val="center"/>
          </w:tcPr>
          <w:p w14:paraId="50FC9A3B">
            <w:pPr>
              <w:pStyle w:val="13"/>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3"/>
              <w:spacing w:line="240" w:lineRule="atLeast"/>
              <w:jc w:val="center"/>
              <w:rPr>
                <w:rFonts w:asciiTheme="minorEastAsia" w:hAnsiTheme="minorEastAsia" w:eastAsiaTheme="minorEastAsia"/>
                <w:szCs w:val="24"/>
              </w:rPr>
            </w:pPr>
          </w:p>
        </w:tc>
        <w:tc>
          <w:tcPr>
            <w:tcW w:w="3889" w:type="dxa"/>
            <w:vAlign w:val="center"/>
          </w:tcPr>
          <w:p w14:paraId="1508C1AE">
            <w:pPr>
              <w:pStyle w:val="13"/>
              <w:spacing w:line="240" w:lineRule="atLeast"/>
              <w:jc w:val="center"/>
              <w:rPr>
                <w:rFonts w:asciiTheme="minorEastAsia" w:hAnsiTheme="minorEastAsia" w:eastAsiaTheme="minorEastAsia"/>
                <w:szCs w:val="24"/>
              </w:rPr>
            </w:pPr>
          </w:p>
        </w:tc>
        <w:tc>
          <w:tcPr>
            <w:tcW w:w="1510" w:type="dxa"/>
            <w:vAlign w:val="center"/>
          </w:tcPr>
          <w:p w14:paraId="4473FEB8">
            <w:pPr>
              <w:pStyle w:val="13"/>
              <w:spacing w:line="240" w:lineRule="atLeast"/>
              <w:jc w:val="center"/>
              <w:rPr>
                <w:rFonts w:asciiTheme="minorEastAsia" w:hAnsiTheme="minorEastAsia" w:eastAsiaTheme="minorEastAsia"/>
                <w:szCs w:val="24"/>
              </w:rPr>
            </w:pPr>
          </w:p>
        </w:tc>
        <w:tc>
          <w:tcPr>
            <w:tcW w:w="1342" w:type="dxa"/>
            <w:vAlign w:val="center"/>
          </w:tcPr>
          <w:p w14:paraId="22065AF0">
            <w:pPr>
              <w:pStyle w:val="13"/>
              <w:spacing w:line="360" w:lineRule="auto"/>
              <w:jc w:val="center"/>
              <w:rPr>
                <w:rFonts w:asciiTheme="minorEastAsia" w:hAnsiTheme="minorEastAsia" w:eastAsiaTheme="minorEastAsia"/>
                <w:szCs w:val="24"/>
              </w:rPr>
            </w:pPr>
          </w:p>
        </w:tc>
        <w:tc>
          <w:tcPr>
            <w:tcW w:w="1229" w:type="dxa"/>
            <w:vAlign w:val="center"/>
          </w:tcPr>
          <w:p w14:paraId="5829E198">
            <w:pPr>
              <w:pStyle w:val="13"/>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3"/>
              <w:spacing w:line="240" w:lineRule="atLeast"/>
              <w:jc w:val="center"/>
              <w:rPr>
                <w:rFonts w:asciiTheme="minorEastAsia" w:hAnsiTheme="minorEastAsia" w:eastAsiaTheme="minorEastAsia"/>
                <w:szCs w:val="24"/>
              </w:rPr>
            </w:pPr>
          </w:p>
        </w:tc>
        <w:tc>
          <w:tcPr>
            <w:tcW w:w="3889" w:type="dxa"/>
            <w:vAlign w:val="center"/>
          </w:tcPr>
          <w:p w14:paraId="6D402DD3">
            <w:pPr>
              <w:pStyle w:val="13"/>
              <w:spacing w:line="240" w:lineRule="atLeast"/>
              <w:jc w:val="center"/>
              <w:rPr>
                <w:rFonts w:asciiTheme="minorEastAsia" w:hAnsiTheme="minorEastAsia" w:eastAsiaTheme="minorEastAsia"/>
                <w:szCs w:val="24"/>
              </w:rPr>
            </w:pPr>
          </w:p>
        </w:tc>
        <w:tc>
          <w:tcPr>
            <w:tcW w:w="1510" w:type="dxa"/>
            <w:vAlign w:val="center"/>
          </w:tcPr>
          <w:p w14:paraId="66E614E5">
            <w:pPr>
              <w:pStyle w:val="13"/>
              <w:spacing w:line="240" w:lineRule="atLeast"/>
              <w:jc w:val="center"/>
              <w:rPr>
                <w:rFonts w:asciiTheme="minorEastAsia" w:hAnsiTheme="minorEastAsia" w:eastAsiaTheme="minorEastAsia"/>
                <w:szCs w:val="24"/>
              </w:rPr>
            </w:pPr>
          </w:p>
        </w:tc>
        <w:tc>
          <w:tcPr>
            <w:tcW w:w="1342" w:type="dxa"/>
            <w:vAlign w:val="center"/>
          </w:tcPr>
          <w:p w14:paraId="2EA45A05">
            <w:pPr>
              <w:pStyle w:val="13"/>
              <w:spacing w:line="360" w:lineRule="auto"/>
              <w:jc w:val="center"/>
              <w:rPr>
                <w:rFonts w:asciiTheme="minorEastAsia" w:hAnsiTheme="minorEastAsia" w:eastAsiaTheme="minorEastAsia"/>
                <w:szCs w:val="24"/>
              </w:rPr>
            </w:pPr>
          </w:p>
        </w:tc>
        <w:tc>
          <w:tcPr>
            <w:tcW w:w="1229" w:type="dxa"/>
            <w:vAlign w:val="center"/>
          </w:tcPr>
          <w:p w14:paraId="3EA65904">
            <w:pPr>
              <w:pStyle w:val="13"/>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3"/>
              <w:spacing w:line="240" w:lineRule="atLeast"/>
              <w:jc w:val="center"/>
              <w:rPr>
                <w:rFonts w:asciiTheme="minorEastAsia" w:hAnsiTheme="minorEastAsia" w:eastAsiaTheme="minorEastAsia"/>
                <w:szCs w:val="24"/>
              </w:rPr>
            </w:pPr>
          </w:p>
        </w:tc>
        <w:tc>
          <w:tcPr>
            <w:tcW w:w="3889" w:type="dxa"/>
            <w:vAlign w:val="center"/>
          </w:tcPr>
          <w:p w14:paraId="013D9178">
            <w:pPr>
              <w:pStyle w:val="13"/>
              <w:spacing w:line="240" w:lineRule="atLeast"/>
              <w:jc w:val="center"/>
              <w:rPr>
                <w:rFonts w:asciiTheme="minorEastAsia" w:hAnsiTheme="minorEastAsia" w:eastAsiaTheme="minorEastAsia"/>
                <w:szCs w:val="24"/>
              </w:rPr>
            </w:pPr>
          </w:p>
        </w:tc>
        <w:tc>
          <w:tcPr>
            <w:tcW w:w="1510" w:type="dxa"/>
            <w:vAlign w:val="center"/>
          </w:tcPr>
          <w:p w14:paraId="1652D792">
            <w:pPr>
              <w:pStyle w:val="13"/>
              <w:spacing w:line="240" w:lineRule="atLeast"/>
              <w:jc w:val="center"/>
              <w:rPr>
                <w:rFonts w:asciiTheme="minorEastAsia" w:hAnsiTheme="minorEastAsia" w:eastAsiaTheme="minorEastAsia"/>
                <w:szCs w:val="24"/>
              </w:rPr>
            </w:pPr>
          </w:p>
        </w:tc>
        <w:tc>
          <w:tcPr>
            <w:tcW w:w="1342" w:type="dxa"/>
            <w:vAlign w:val="center"/>
          </w:tcPr>
          <w:p w14:paraId="535A130E">
            <w:pPr>
              <w:pStyle w:val="13"/>
              <w:spacing w:line="360" w:lineRule="auto"/>
              <w:jc w:val="center"/>
              <w:rPr>
                <w:rFonts w:asciiTheme="minorEastAsia" w:hAnsiTheme="minorEastAsia" w:eastAsiaTheme="minorEastAsia"/>
                <w:szCs w:val="24"/>
              </w:rPr>
            </w:pPr>
          </w:p>
        </w:tc>
        <w:tc>
          <w:tcPr>
            <w:tcW w:w="1229" w:type="dxa"/>
            <w:vAlign w:val="center"/>
          </w:tcPr>
          <w:p w14:paraId="541B6DF1">
            <w:pPr>
              <w:pStyle w:val="13"/>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3"/>
              <w:spacing w:line="240" w:lineRule="atLeast"/>
              <w:jc w:val="center"/>
              <w:rPr>
                <w:rFonts w:asciiTheme="minorEastAsia" w:hAnsiTheme="minorEastAsia" w:eastAsiaTheme="minorEastAsia"/>
                <w:szCs w:val="24"/>
              </w:rPr>
            </w:pPr>
          </w:p>
        </w:tc>
        <w:tc>
          <w:tcPr>
            <w:tcW w:w="3889" w:type="dxa"/>
            <w:vAlign w:val="center"/>
          </w:tcPr>
          <w:p w14:paraId="73FEF1B3">
            <w:pPr>
              <w:pStyle w:val="13"/>
              <w:spacing w:line="240" w:lineRule="atLeast"/>
              <w:jc w:val="center"/>
              <w:rPr>
                <w:rFonts w:asciiTheme="minorEastAsia" w:hAnsiTheme="minorEastAsia" w:eastAsiaTheme="minorEastAsia"/>
                <w:szCs w:val="24"/>
              </w:rPr>
            </w:pPr>
          </w:p>
        </w:tc>
        <w:tc>
          <w:tcPr>
            <w:tcW w:w="1510" w:type="dxa"/>
            <w:vAlign w:val="center"/>
          </w:tcPr>
          <w:p w14:paraId="2A6EB54A">
            <w:pPr>
              <w:pStyle w:val="13"/>
              <w:spacing w:line="240" w:lineRule="atLeast"/>
              <w:jc w:val="center"/>
              <w:rPr>
                <w:rFonts w:asciiTheme="minorEastAsia" w:hAnsiTheme="minorEastAsia" w:eastAsiaTheme="minorEastAsia"/>
                <w:szCs w:val="24"/>
              </w:rPr>
            </w:pPr>
          </w:p>
        </w:tc>
        <w:tc>
          <w:tcPr>
            <w:tcW w:w="1342" w:type="dxa"/>
            <w:vAlign w:val="center"/>
          </w:tcPr>
          <w:p w14:paraId="141CF976">
            <w:pPr>
              <w:pStyle w:val="13"/>
              <w:spacing w:line="360" w:lineRule="auto"/>
              <w:jc w:val="center"/>
              <w:rPr>
                <w:rFonts w:asciiTheme="minorEastAsia" w:hAnsiTheme="minorEastAsia" w:eastAsiaTheme="minorEastAsia"/>
                <w:szCs w:val="24"/>
              </w:rPr>
            </w:pPr>
          </w:p>
        </w:tc>
        <w:tc>
          <w:tcPr>
            <w:tcW w:w="1229" w:type="dxa"/>
            <w:vAlign w:val="center"/>
          </w:tcPr>
          <w:p w14:paraId="51F2A759">
            <w:pPr>
              <w:pStyle w:val="13"/>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3"/>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7" w:name="_Toc511029430"/>
    </w:p>
    <w:p w14:paraId="3E42775E">
      <w:pPr>
        <w:pStyle w:val="4"/>
        <w:spacing w:before="0" w:after="0" w:line="360" w:lineRule="auto"/>
        <w:rPr>
          <w:rFonts w:ascii="宋体" w:hAnsi="宋体"/>
          <w:b w:val="0"/>
          <w:sz w:val="21"/>
          <w:szCs w:val="21"/>
        </w:rPr>
      </w:pPr>
      <w:bookmarkStart w:id="18" w:name="_Toc15870"/>
    </w:p>
    <w:p w14:paraId="6D8F2A32">
      <w:pPr>
        <w:pStyle w:val="4"/>
        <w:spacing w:before="0" w:after="0" w:line="360" w:lineRule="auto"/>
        <w:rPr>
          <w:rFonts w:ascii="宋体" w:hAnsi="宋体"/>
          <w:b w:val="0"/>
          <w:sz w:val="21"/>
          <w:szCs w:val="21"/>
        </w:rPr>
      </w:pPr>
    </w:p>
    <w:p w14:paraId="457A965B">
      <w:pPr>
        <w:pStyle w:val="4"/>
        <w:spacing w:before="0" w:after="0" w:line="360" w:lineRule="auto"/>
        <w:rPr>
          <w:rFonts w:ascii="宋体" w:hAnsi="宋体"/>
          <w:b w:val="0"/>
          <w:sz w:val="21"/>
          <w:szCs w:val="21"/>
        </w:rPr>
      </w:pPr>
    </w:p>
    <w:p w14:paraId="286CD378">
      <w:pPr>
        <w:pStyle w:val="4"/>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4"/>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3"/>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4"/>
        <w:spacing w:before="0" w:after="0" w:line="360" w:lineRule="auto"/>
        <w:rPr>
          <w:rFonts w:asciiTheme="minorEastAsia" w:hAnsiTheme="minorEastAsia"/>
          <w:b w:val="0"/>
          <w:bCs w:val="0"/>
          <w:sz w:val="21"/>
          <w:szCs w:val="21"/>
        </w:rPr>
      </w:pPr>
      <w:bookmarkStart w:id="19" w:name="_Toc510948711"/>
      <w:bookmarkStart w:id="20" w:name="_Toc511029431"/>
    </w:p>
    <w:bookmarkEnd w:id="19"/>
    <w:bookmarkEnd w:id="20"/>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2"/>
          <w:jc w:val="center"/>
        </w:pPr>
        <w:r>
          <w:fldChar w:fldCharType="begin"/>
        </w:r>
        <w:r>
          <w:instrText xml:space="preserve">PAGE   \* MERGEFORMAT</w:instrText>
        </w:r>
        <w:r>
          <w:fldChar w:fldCharType="separate"/>
        </w:r>
        <w:r>
          <w:t>2</w:t>
        </w:r>
        <w:r>
          <w:fldChar w:fldCharType="end"/>
        </w:r>
      </w:p>
    </w:sdtContent>
  </w:sdt>
  <w:p w14:paraId="7E70963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2"/>
          <w:jc w:val="center"/>
        </w:pPr>
        <w:r>
          <w:fldChar w:fldCharType="begin"/>
        </w:r>
        <w:r>
          <w:instrText xml:space="preserve">PAGE   \* MERGEFORMAT</w:instrText>
        </w:r>
        <w:r>
          <w:fldChar w:fldCharType="separate"/>
        </w:r>
        <w:r>
          <w:t>1</w:t>
        </w:r>
        <w:r>
          <w:fldChar w:fldCharType="end"/>
        </w:r>
      </w:p>
    </w:sdtContent>
  </w:sdt>
  <w:p w14:paraId="6D802B6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3E02A"/>
    <w:multiLevelType w:val="singleLevel"/>
    <w:tmpl w:val="8663E02A"/>
    <w:lvl w:ilvl="0" w:tentative="0">
      <w:start w:val="3"/>
      <w:numFmt w:val="chineseCounting"/>
      <w:suff w:val="space"/>
      <w:lvlText w:val="第%1部分"/>
      <w:lvlJc w:val="left"/>
      <w:rPr>
        <w:rFonts w:hint="eastAsia"/>
      </w:rPr>
    </w:lvl>
  </w:abstractNum>
  <w:abstractNum w:abstractNumId="1">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3">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4">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5">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6">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EE55A91"/>
    <w:rsid w:val="12F301E3"/>
    <w:rsid w:val="14890446"/>
    <w:rsid w:val="1574621E"/>
    <w:rsid w:val="175E31B1"/>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67B2653"/>
    <w:rsid w:val="26C32955"/>
    <w:rsid w:val="28D220AC"/>
    <w:rsid w:val="29270EDC"/>
    <w:rsid w:val="294835F5"/>
    <w:rsid w:val="2B0F3624"/>
    <w:rsid w:val="2B3B2C46"/>
    <w:rsid w:val="2D89352F"/>
    <w:rsid w:val="2F425CE3"/>
    <w:rsid w:val="340E25D9"/>
    <w:rsid w:val="341A0804"/>
    <w:rsid w:val="34524761"/>
    <w:rsid w:val="360C47B5"/>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94135D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BB2E18"/>
    <w:rsid w:val="6EF449AB"/>
    <w:rsid w:val="70997702"/>
    <w:rsid w:val="71A6157C"/>
    <w:rsid w:val="71D85D4A"/>
    <w:rsid w:val="722E3CB7"/>
    <w:rsid w:val="72353C60"/>
    <w:rsid w:val="749F1D7E"/>
    <w:rsid w:val="764D5755"/>
    <w:rsid w:val="7C371D7F"/>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6"/>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6">
    <w:name w:val="Normal Indent"/>
    <w:basedOn w:val="1"/>
    <w:semiHidden/>
    <w:unhideWhenUsed/>
    <w:qFormat/>
    <w:uiPriority w:val="99"/>
    <w:pPr>
      <w:ind w:firstLine="420" w:firstLineChars="200"/>
    </w:pPr>
  </w:style>
  <w:style w:type="paragraph" w:styleId="7">
    <w:name w:val="Body Text"/>
    <w:basedOn w:val="1"/>
    <w:next w:val="8"/>
    <w:semiHidden/>
    <w:unhideWhenUsed/>
    <w:qFormat/>
    <w:uiPriority w:val="99"/>
    <w:pPr>
      <w:spacing w:after="120"/>
    </w:pPr>
  </w:style>
  <w:style w:type="paragraph" w:customStyle="1" w:styleId="8">
    <w:name w:val="style4"/>
    <w:basedOn w:val="1"/>
    <w:next w:val="9"/>
    <w:qFormat/>
    <w:uiPriority w:val="0"/>
    <w:pPr>
      <w:spacing w:before="280" w:after="280"/>
    </w:pPr>
    <w:rPr>
      <w:rFonts w:ascii="宋体"/>
      <w:sz w:val="18"/>
    </w:rPr>
  </w:style>
  <w:style w:type="paragraph" w:customStyle="1" w:styleId="9">
    <w:name w:val="2"/>
    <w:basedOn w:val="1"/>
    <w:next w:val="1"/>
    <w:qFormat/>
    <w:uiPriority w:val="0"/>
    <w:pPr>
      <w:spacing w:line="360" w:lineRule="auto"/>
    </w:pPr>
    <w:rPr>
      <w:rFonts w:eastAsia="仿宋_GB2312"/>
      <w:sz w:val="28"/>
      <w:szCs w:val="28"/>
    </w:rPr>
  </w:style>
  <w:style w:type="paragraph" w:styleId="10">
    <w:name w:val="Body Text Indent"/>
    <w:basedOn w:val="1"/>
    <w:next w:val="11"/>
    <w:qFormat/>
    <w:uiPriority w:val="0"/>
    <w:pPr>
      <w:snapToGrid w:val="0"/>
      <w:spacing w:line="440" w:lineRule="exact"/>
      <w:ind w:left="1120" w:hanging="1120" w:hangingChars="400"/>
    </w:pPr>
    <w:rPr>
      <w:rFonts w:eastAsia="DFKai-SB"/>
      <w:sz w:val="28"/>
      <w:lang w:eastAsia="zh-TW"/>
    </w:rPr>
  </w:style>
  <w:style w:type="paragraph" w:styleId="11">
    <w:name w:val="envelope return"/>
    <w:basedOn w:val="1"/>
    <w:qFormat/>
    <w:uiPriority w:val="0"/>
    <w:pPr>
      <w:snapToGrid w:val="0"/>
    </w:pPr>
    <w:rPr>
      <w:rFonts w:ascii="Arial" w:hAnsi="Arial"/>
    </w:rPr>
  </w:style>
  <w:style w:type="paragraph" w:styleId="12">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3">
    <w:name w:val="Plain Text"/>
    <w:basedOn w:val="1"/>
    <w:qFormat/>
    <w:uiPriority w:val="0"/>
    <w:pPr>
      <w:jc w:val="left"/>
    </w:pPr>
    <w:rPr>
      <w:rFonts w:ascii="MingLiU" w:hAnsi="Courier New" w:eastAsia="MingLiU"/>
      <w:sz w:val="24"/>
      <w:szCs w:val="20"/>
      <w:lang w:eastAsia="zh-TW"/>
    </w:rPr>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2"/>
    <w:qFormat/>
    <w:uiPriority w:val="0"/>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10"/>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5"/>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4"/>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 w:type="paragraph" w:customStyle="1" w:styleId="69">
    <w:name w:val="标准文本"/>
    <w:basedOn w:val="1"/>
    <w:qFormat/>
    <w:uiPriority w:val="0"/>
    <w:pPr>
      <w:spacing w:line="360" w:lineRule="auto"/>
      <w:ind w:firstLine="48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5297</Words>
  <Characters>5770</Characters>
  <Lines>66</Lines>
  <Paragraphs>18</Paragraphs>
  <TotalTime>0</TotalTime>
  <ScaleCrop>false</ScaleCrop>
  <LinksUpToDate>false</LinksUpToDate>
  <CharactersWithSpaces>7433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2025-07-11T09:30:36Z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