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pPr w:leftFromText="187" w:rightFromText="187" w:vertAnchor="page" w:horzAnchor="margin" w:tblpXSpec="center" w:tblpY="2496"/>
        <w:tblW w:w="0" w:type="auto"/>
        <w:tblInd w:w="0" w:type="dxa"/>
        <w:tblLayout w:type="fixed"/>
        <w:tblCellMar>
          <w:top w:w="0" w:type="dxa"/>
          <w:left w:w="144" w:type="dxa"/>
          <w:bottom w:w="0" w:type="dxa"/>
          <w:right w:w="115" w:type="dxa"/>
        </w:tblCellMar>
      </w:tblPr>
      <w:tblGrid>
        <w:gridCol w:w="7259"/>
      </w:tblGrid>
      <w:tr>
        <w:tblPrEx>
          <w:tblCellMar>
            <w:top w:w="0" w:type="dxa"/>
            <w:left w:w="144" w:type="dxa"/>
            <w:bottom w:w="0" w:type="dxa"/>
            <w:right w:w="115" w:type="dxa"/>
          </w:tblCellMar>
        </w:tblPrEx>
        <w:tc>
          <w:tcPr>
            <w:tcW w:w="7259" w:type="dxa"/>
            <w:tcMar>
              <w:top w:w="216" w:type="dxa"/>
              <w:left w:w="115" w:type="dxa"/>
              <w:bottom w:w="216" w:type="dxa"/>
              <w:right w:w="115" w:type="dxa"/>
            </w:tcMar>
          </w:tcPr>
          <w:p>
            <w:pPr>
              <w:pStyle w:val="31"/>
              <w:rPr>
                <w:rFonts w:ascii="宋体" w:hAnsi="宋体"/>
                <w:color w:val="2E74B5"/>
                <w:sz w:val="24"/>
              </w:rPr>
            </w:pPr>
          </w:p>
        </w:tc>
      </w:tr>
      <w:tr>
        <w:tblPrEx>
          <w:tblCellMar>
            <w:top w:w="0" w:type="dxa"/>
            <w:left w:w="144" w:type="dxa"/>
            <w:bottom w:w="0" w:type="dxa"/>
            <w:right w:w="115" w:type="dxa"/>
          </w:tblCellMar>
        </w:tblPrEx>
        <w:tc>
          <w:tcPr>
            <w:tcW w:w="7259" w:type="dxa"/>
          </w:tcPr>
          <w:p>
            <w:pPr>
              <w:pStyle w:val="31"/>
              <w:spacing w:line="216" w:lineRule="auto"/>
              <w:jc w:val="center"/>
              <w:rPr>
                <w:rFonts w:ascii="宋体" w:hAnsi="宋体"/>
                <w:b/>
                <w:sz w:val="76"/>
                <w:szCs w:val="76"/>
              </w:rPr>
            </w:pPr>
            <w:r>
              <w:rPr>
                <w:rFonts w:hint="eastAsia" w:ascii="宋体" w:hAnsi="宋体"/>
                <w:b/>
                <w:sz w:val="76"/>
                <w:szCs w:val="76"/>
              </w:rPr>
              <w:t>信息化项目</w:t>
            </w:r>
          </w:p>
          <w:p>
            <w:pPr>
              <w:pStyle w:val="31"/>
              <w:spacing w:line="216" w:lineRule="auto"/>
              <w:jc w:val="center"/>
              <w:rPr>
                <w:rFonts w:ascii="宋体" w:hAnsi="宋体"/>
                <w:b/>
                <w:sz w:val="76"/>
                <w:szCs w:val="76"/>
              </w:rPr>
            </w:pPr>
            <w:r>
              <w:rPr>
                <w:rFonts w:hint="eastAsia" w:ascii="宋体" w:hAnsi="宋体"/>
                <w:b/>
                <w:sz w:val="76"/>
                <w:szCs w:val="76"/>
              </w:rPr>
              <w:t>校内分散采购</w:t>
            </w:r>
            <w:r>
              <w:rPr>
                <w:rFonts w:ascii="宋体" w:hAnsi="宋体"/>
                <w:b/>
                <w:sz w:val="76"/>
                <w:szCs w:val="76"/>
              </w:rPr>
              <w:t>文件</w:t>
            </w:r>
          </w:p>
        </w:tc>
      </w:tr>
      <w:tr>
        <w:tblPrEx>
          <w:tblCellMar>
            <w:top w:w="0" w:type="dxa"/>
            <w:left w:w="144" w:type="dxa"/>
            <w:bottom w:w="0" w:type="dxa"/>
            <w:right w:w="115" w:type="dxa"/>
          </w:tblCellMar>
        </w:tblPrEx>
        <w:tc>
          <w:tcPr>
            <w:tcW w:w="7259" w:type="dxa"/>
            <w:tcMar>
              <w:top w:w="216" w:type="dxa"/>
              <w:left w:w="115" w:type="dxa"/>
              <w:bottom w:w="216" w:type="dxa"/>
              <w:right w:w="115" w:type="dxa"/>
            </w:tcMar>
          </w:tcPr>
          <w:p>
            <w:pPr>
              <w:pStyle w:val="31"/>
              <w:rPr>
                <w:rFonts w:ascii="宋体" w:hAnsi="宋体"/>
                <w:sz w:val="24"/>
              </w:rPr>
            </w:pPr>
          </w:p>
        </w:tc>
      </w:tr>
      <w:tr>
        <w:tblPrEx>
          <w:tblCellMar>
            <w:top w:w="0" w:type="dxa"/>
            <w:left w:w="144" w:type="dxa"/>
            <w:bottom w:w="0" w:type="dxa"/>
            <w:right w:w="115" w:type="dxa"/>
          </w:tblCellMar>
        </w:tblPrEx>
        <w:tc>
          <w:tcPr>
            <w:tcW w:w="7259" w:type="dxa"/>
            <w:tcMar>
              <w:top w:w="216" w:type="dxa"/>
              <w:left w:w="115" w:type="dxa"/>
              <w:bottom w:w="216" w:type="dxa"/>
              <w:right w:w="115" w:type="dxa"/>
            </w:tcMar>
          </w:tcPr>
          <w:p>
            <w:pPr>
              <w:ind w:left="2238" w:leftChars="304" w:hanging="1600" w:hangingChars="500"/>
              <w:rPr>
                <w:rFonts w:hint="eastAsia" w:ascii="宋体" w:hAnsi="宋体" w:eastAsiaTheme="minorEastAsia"/>
                <w:sz w:val="32"/>
                <w:szCs w:val="32"/>
                <w:lang w:val="en-US" w:eastAsia="zh-CN"/>
              </w:rPr>
            </w:pPr>
            <w:r>
              <w:rPr>
                <w:rFonts w:hint="eastAsia" w:ascii="宋体" w:hAnsi="宋体"/>
                <w:sz w:val="32"/>
                <w:szCs w:val="32"/>
              </w:rPr>
              <w:t>项目名称：葡萄酒工厂设计及生产3D虚拟仿真实验开发</w:t>
            </w:r>
          </w:p>
          <w:p>
            <w:pPr>
              <w:ind w:firstLine="640" w:firstLineChars="200"/>
              <w:rPr>
                <w:rFonts w:hint="default" w:ascii="宋体" w:hAnsi="宋体" w:eastAsiaTheme="minorEastAsia"/>
                <w:sz w:val="32"/>
                <w:szCs w:val="32"/>
                <w:lang w:val="en-US" w:eastAsia="zh-CN"/>
              </w:rPr>
            </w:pPr>
            <w:r>
              <w:rPr>
                <w:rFonts w:hint="eastAsia" w:ascii="宋体" w:hAnsi="宋体"/>
                <w:sz w:val="32"/>
                <w:szCs w:val="32"/>
                <w:highlight w:val="none"/>
              </w:rPr>
              <w:t>项目编号：校分信</w:t>
            </w:r>
            <w:r>
              <w:rPr>
                <w:rFonts w:hint="eastAsia" w:ascii="宋体" w:hAnsi="宋体"/>
                <w:sz w:val="32"/>
                <w:szCs w:val="32"/>
                <w:highlight w:val="none"/>
                <w:lang w:val="en-US" w:eastAsia="zh-CN"/>
              </w:rPr>
              <w:t>2024015</w:t>
            </w:r>
          </w:p>
        </w:tc>
      </w:tr>
    </w:tbl>
    <w:p>
      <w:pPr>
        <w:jc w:val="center"/>
        <w:rPr>
          <w:b/>
          <w:bCs/>
          <w:sz w:val="44"/>
          <w:szCs w:val="44"/>
        </w:rPr>
      </w:pPr>
    </w:p>
    <w:p>
      <w:pPr>
        <w:jc w:val="center"/>
        <w:rPr>
          <w:b/>
          <w:bCs/>
          <w:sz w:val="32"/>
          <w:szCs w:val="32"/>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tbl>
      <w:tblPr>
        <w:tblStyle w:val="17"/>
        <w:tblpPr w:leftFromText="187" w:rightFromText="187" w:vertAnchor="page" w:horzAnchor="margin" w:tblpXSpec="center" w:tblpY="11911"/>
        <w:tblW w:w="0" w:type="auto"/>
        <w:tblInd w:w="0" w:type="dxa"/>
        <w:tblLayout w:type="fixed"/>
        <w:tblCellMar>
          <w:top w:w="0" w:type="dxa"/>
          <w:left w:w="108" w:type="dxa"/>
          <w:bottom w:w="0" w:type="dxa"/>
          <w:right w:w="108" w:type="dxa"/>
        </w:tblCellMar>
      </w:tblPr>
      <w:tblGrid>
        <w:gridCol w:w="7455"/>
      </w:tblGrid>
      <w:tr>
        <w:tblPrEx>
          <w:tblCellMar>
            <w:top w:w="0" w:type="dxa"/>
            <w:left w:w="108" w:type="dxa"/>
            <w:bottom w:w="0" w:type="dxa"/>
            <w:right w:w="108" w:type="dxa"/>
          </w:tblCellMar>
        </w:tblPrEx>
        <w:tc>
          <w:tcPr>
            <w:tcW w:w="7455" w:type="dxa"/>
            <w:tcMar>
              <w:top w:w="216" w:type="dxa"/>
              <w:left w:w="115" w:type="dxa"/>
              <w:bottom w:w="216" w:type="dxa"/>
              <w:right w:w="115" w:type="dxa"/>
            </w:tcMar>
          </w:tcPr>
          <w:p>
            <w:pPr>
              <w:jc w:val="center"/>
              <w:rPr>
                <w:rFonts w:ascii="宋体" w:hAnsi="宋体"/>
                <w:sz w:val="32"/>
              </w:rPr>
            </w:pPr>
            <w:r>
              <w:rPr>
                <w:rFonts w:hint="eastAsia" w:ascii="宋体" w:hAnsi="宋体"/>
                <w:sz w:val="32"/>
              </w:rPr>
              <w:t>江南大学信息化建设管理处</w:t>
            </w:r>
          </w:p>
          <w:p>
            <w:pPr>
              <w:pStyle w:val="31"/>
              <w:jc w:val="center"/>
              <w:rPr>
                <w:rFonts w:ascii="宋体" w:hAnsi="宋体"/>
              </w:rPr>
            </w:pPr>
            <w:r>
              <w:rPr>
                <w:rFonts w:ascii="宋体" w:hAnsi="宋体"/>
                <w:kern w:val="0"/>
                <w:sz w:val="32"/>
                <w:highlight w:val="none"/>
              </w:rPr>
              <w:t>202</w:t>
            </w:r>
            <w:r>
              <w:rPr>
                <w:rFonts w:hint="eastAsia" w:ascii="宋体" w:hAnsi="宋体"/>
                <w:kern w:val="0"/>
                <w:sz w:val="32"/>
                <w:highlight w:val="none"/>
                <w:lang w:val="en-US" w:eastAsia="zh-CN"/>
              </w:rPr>
              <w:t>4</w:t>
            </w:r>
            <w:r>
              <w:rPr>
                <w:rFonts w:ascii="宋体" w:hAnsi="宋体"/>
                <w:kern w:val="0"/>
                <w:sz w:val="32"/>
                <w:highlight w:val="none"/>
              </w:rPr>
              <w:t>年</w:t>
            </w:r>
            <w:r>
              <w:rPr>
                <w:rFonts w:hint="eastAsia" w:ascii="宋体" w:hAnsi="宋体"/>
                <w:kern w:val="0"/>
                <w:sz w:val="32"/>
                <w:highlight w:val="none"/>
                <w:lang w:val="en-US" w:eastAsia="zh-CN"/>
              </w:rPr>
              <w:t>7</w:t>
            </w:r>
            <w:r>
              <w:rPr>
                <w:rFonts w:ascii="宋体" w:hAnsi="宋体"/>
                <w:kern w:val="0"/>
                <w:sz w:val="32"/>
                <w:highlight w:val="none"/>
              </w:rPr>
              <w:t>月</w:t>
            </w:r>
            <w:r>
              <w:rPr>
                <w:rFonts w:hint="eastAsia" w:ascii="宋体" w:hAnsi="宋体"/>
                <w:kern w:val="0"/>
                <w:sz w:val="32"/>
                <w:highlight w:val="none"/>
                <w:lang w:val="en-US" w:eastAsia="zh-CN"/>
              </w:rPr>
              <w:t>16</w:t>
            </w:r>
            <w:r>
              <w:rPr>
                <w:rFonts w:ascii="宋体" w:hAnsi="宋体"/>
                <w:kern w:val="0"/>
                <w:sz w:val="32"/>
                <w:highlight w:val="none"/>
              </w:rPr>
              <w:t>日</w:t>
            </w:r>
          </w:p>
        </w:tc>
      </w:tr>
    </w:tbl>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pStyle w:val="3"/>
        <w:jc w:val="center"/>
        <w:rPr>
          <w:rFonts w:ascii="宋体" w:hAnsi="宋体"/>
        </w:rPr>
      </w:pPr>
      <w:bookmarkStart w:id="0" w:name="_Toc4792"/>
      <w:r>
        <w:rPr>
          <w:rFonts w:hint="eastAsia" w:ascii="宋体" w:hAnsi="宋体"/>
        </w:rPr>
        <w:t>第一部分  校内分散采购邀请</w:t>
      </w:r>
      <w:bookmarkEnd w:id="0"/>
    </w:p>
    <w:p>
      <w:pPr>
        <w:spacing w:line="360" w:lineRule="auto"/>
        <w:ind w:firstLine="496" w:firstLineChars="200"/>
        <w:rPr>
          <w:rFonts w:ascii="宋体" w:hAnsi="宋体"/>
          <w:spacing w:val="4"/>
          <w:sz w:val="24"/>
        </w:rPr>
      </w:pPr>
      <w:r>
        <w:rPr>
          <w:rFonts w:hint="eastAsia" w:ascii="宋体" w:hAnsi="宋体"/>
          <w:spacing w:val="4"/>
          <w:sz w:val="24"/>
        </w:rPr>
        <w:t>江南大学采购与招标管理办公室委托信息化建设管理处，就我校的</w:t>
      </w:r>
      <w:r>
        <w:rPr>
          <w:rFonts w:hint="eastAsia" w:ascii="宋体" w:hAnsi="宋体" w:eastAsia="宋体" w:cs="宋体"/>
          <w:b/>
          <w:bCs/>
          <w:spacing w:val="4"/>
          <w:sz w:val="24"/>
          <w:szCs w:val="24"/>
          <w:highlight w:val="none"/>
          <w:u w:val="single"/>
          <w:lang w:val="en-US" w:eastAsia="zh-CN"/>
        </w:rPr>
        <w:t>葡萄酒工厂设计及生产3D虚拟仿真实验开发</w:t>
      </w:r>
      <w:r>
        <w:rPr>
          <w:rFonts w:hint="eastAsia" w:ascii="宋体" w:hAnsi="宋体"/>
          <w:spacing w:val="4"/>
          <w:sz w:val="24"/>
        </w:rPr>
        <w:t>进行校内分散采购，</w:t>
      </w:r>
      <w:r>
        <w:rPr>
          <w:rFonts w:ascii="宋体" w:hAnsi="宋体" w:eastAsia="宋体" w:cs="宋体"/>
          <w:sz w:val="24"/>
        </w:rPr>
        <w:t>现予以公告，欢迎潜在的供应商参与</w:t>
      </w:r>
      <w:r>
        <w:rPr>
          <w:rFonts w:hint="eastAsia" w:ascii="宋体" w:hAnsi="宋体" w:eastAsia="宋体" w:cs="宋体"/>
          <w:sz w:val="24"/>
        </w:rPr>
        <w:t>本次信息化项目</w:t>
      </w:r>
      <w:r>
        <w:rPr>
          <w:rFonts w:hint="eastAsia" w:ascii="宋体" w:hAnsi="宋体"/>
          <w:spacing w:val="4"/>
          <w:sz w:val="24"/>
        </w:rPr>
        <w:t>校内分散采购</w:t>
      </w:r>
      <w:r>
        <w:rPr>
          <w:rFonts w:ascii="宋体" w:hAnsi="宋体" w:eastAsia="宋体" w:cs="宋体"/>
          <w:sz w:val="24"/>
        </w:rPr>
        <w:t>。</w:t>
      </w:r>
    </w:p>
    <w:p>
      <w:pPr>
        <w:spacing w:line="360" w:lineRule="auto"/>
        <w:ind w:firstLine="496" w:firstLineChars="200"/>
        <w:rPr>
          <w:rFonts w:ascii="宋体" w:hAnsi="宋体"/>
          <w:bCs/>
          <w:spacing w:val="4"/>
          <w:sz w:val="24"/>
        </w:rPr>
      </w:pPr>
      <w:r>
        <w:rPr>
          <w:rFonts w:hint="eastAsia" w:ascii="宋体" w:hAnsi="宋体"/>
          <w:spacing w:val="4"/>
          <w:sz w:val="24"/>
        </w:rPr>
        <w:t>本次采购的相关信息如下：</w:t>
      </w:r>
    </w:p>
    <w:p>
      <w:pPr>
        <w:numPr>
          <w:ilvl w:val="0"/>
          <w:numId w:val="2"/>
        </w:numPr>
        <w:spacing w:line="360" w:lineRule="auto"/>
        <w:rPr>
          <w:rFonts w:ascii="宋体" w:hAnsi="宋体"/>
          <w:bCs/>
          <w:spacing w:val="4"/>
          <w:sz w:val="24"/>
        </w:rPr>
      </w:pPr>
      <w:r>
        <w:rPr>
          <w:rFonts w:hint="eastAsia" w:ascii="宋体" w:hAnsi="宋体"/>
          <w:b/>
          <w:bCs/>
          <w:spacing w:val="4"/>
          <w:sz w:val="24"/>
        </w:rPr>
        <w:t>信息化项目名称：葡萄酒工厂设计及生产3D虚拟仿真实验开发</w:t>
      </w:r>
    </w:p>
    <w:p>
      <w:pPr>
        <w:numPr>
          <w:ilvl w:val="0"/>
          <w:numId w:val="2"/>
        </w:numPr>
        <w:spacing w:line="360" w:lineRule="auto"/>
        <w:rPr>
          <w:rFonts w:ascii="宋体" w:hAnsi="宋体"/>
          <w:b/>
          <w:bCs/>
          <w:spacing w:val="4"/>
          <w:sz w:val="24"/>
          <w:highlight w:val="none"/>
        </w:rPr>
      </w:pPr>
      <w:r>
        <w:rPr>
          <w:rFonts w:hint="eastAsia" w:ascii="宋体" w:hAnsi="宋体"/>
          <w:b/>
          <w:bCs/>
          <w:spacing w:val="4"/>
          <w:sz w:val="24"/>
          <w:highlight w:val="none"/>
        </w:rPr>
        <w:t>信息化项目编号：校分信</w:t>
      </w:r>
      <w:r>
        <w:rPr>
          <w:rFonts w:hint="eastAsia" w:ascii="宋体" w:hAnsi="宋体"/>
          <w:b/>
          <w:bCs/>
          <w:spacing w:val="4"/>
          <w:sz w:val="24"/>
          <w:highlight w:val="none"/>
          <w:lang w:val="en-US" w:eastAsia="zh-CN"/>
        </w:rPr>
        <w:t>2024015</w:t>
      </w:r>
    </w:p>
    <w:p>
      <w:pPr>
        <w:numPr>
          <w:ilvl w:val="0"/>
          <w:numId w:val="2"/>
        </w:numPr>
        <w:spacing w:line="360" w:lineRule="auto"/>
        <w:rPr>
          <w:rFonts w:ascii="宋体" w:hAnsi="宋体"/>
          <w:b/>
          <w:bCs/>
          <w:spacing w:val="4"/>
          <w:sz w:val="24"/>
        </w:rPr>
      </w:pPr>
      <w:r>
        <w:rPr>
          <w:rFonts w:hint="eastAsia" w:ascii="宋体" w:hAnsi="宋体"/>
          <w:b/>
          <w:bCs/>
          <w:spacing w:val="4"/>
          <w:sz w:val="24"/>
        </w:rPr>
        <w:t>最高限价：人民币</w:t>
      </w:r>
      <w:r>
        <w:rPr>
          <w:rFonts w:hint="eastAsia" w:ascii="宋体" w:hAnsi="宋体"/>
          <w:b/>
          <w:bCs/>
          <w:spacing w:val="4"/>
          <w:sz w:val="24"/>
          <w:lang w:val="en-US" w:eastAsia="zh-CN"/>
        </w:rPr>
        <w:t>10</w:t>
      </w:r>
      <w:r>
        <w:rPr>
          <w:rFonts w:hint="eastAsia" w:ascii="宋体" w:hAnsi="宋体"/>
          <w:b/>
          <w:bCs/>
          <w:spacing w:val="4"/>
          <w:sz w:val="24"/>
        </w:rPr>
        <w:t>万元</w:t>
      </w:r>
    </w:p>
    <w:p>
      <w:pPr>
        <w:numPr>
          <w:ilvl w:val="0"/>
          <w:numId w:val="2"/>
        </w:numPr>
        <w:spacing w:line="360" w:lineRule="auto"/>
        <w:rPr>
          <w:rFonts w:ascii="宋体" w:hAnsi="宋体"/>
          <w:b/>
          <w:bCs/>
          <w:spacing w:val="4"/>
          <w:sz w:val="24"/>
        </w:rPr>
      </w:pPr>
      <w:r>
        <w:rPr>
          <w:rFonts w:hint="eastAsia" w:ascii="宋体" w:hAnsi="宋体"/>
          <w:b/>
          <w:bCs/>
          <w:spacing w:val="4"/>
          <w:sz w:val="24"/>
        </w:rPr>
        <w:t>信息化项目采购名称、数量及技术规格：</w:t>
      </w:r>
    </w:p>
    <w:p>
      <w:pPr>
        <w:spacing w:line="360" w:lineRule="auto"/>
        <w:ind w:firstLine="496" w:firstLineChars="200"/>
        <w:rPr>
          <w:rFonts w:ascii="宋体" w:hAnsi="宋体"/>
          <w:spacing w:val="4"/>
          <w:sz w:val="24"/>
        </w:rPr>
      </w:pPr>
      <w:r>
        <w:rPr>
          <w:rFonts w:hint="eastAsia" w:ascii="宋体" w:hAnsi="宋体"/>
          <w:spacing w:val="4"/>
          <w:sz w:val="24"/>
        </w:rPr>
        <w:t>详见本招标文件第三部分“</w:t>
      </w:r>
      <w:r>
        <w:rPr>
          <w:rFonts w:hint="eastAsia" w:ascii="宋体" w:hAnsi="宋体"/>
          <w:b/>
          <w:bCs/>
          <w:spacing w:val="4"/>
          <w:sz w:val="24"/>
        </w:rPr>
        <w:t>信息化项目校内分散采购需求</w:t>
      </w:r>
      <w:r>
        <w:rPr>
          <w:rFonts w:hint="eastAsia" w:ascii="宋体" w:hAnsi="宋体"/>
          <w:spacing w:val="4"/>
          <w:sz w:val="24"/>
        </w:rPr>
        <w:t>”</w:t>
      </w:r>
    </w:p>
    <w:p>
      <w:pPr>
        <w:numPr>
          <w:ilvl w:val="0"/>
          <w:numId w:val="2"/>
        </w:numPr>
        <w:spacing w:line="360" w:lineRule="auto"/>
        <w:rPr>
          <w:rFonts w:ascii="宋体" w:hAnsi="宋体"/>
          <w:b/>
          <w:bCs/>
          <w:spacing w:val="4"/>
          <w:sz w:val="24"/>
        </w:rPr>
      </w:pPr>
      <w:r>
        <w:rPr>
          <w:rFonts w:hint="eastAsia" w:ascii="宋体" w:hAnsi="宋体"/>
          <w:b/>
          <w:bCs/>
          <w:spacing w:val="4"/>
          <w:sz w:val="24"/>
        </w:rPr>
        <w:t xml:space="preserve"> 获取采购文件的方式</w:t>
      </w:r>
    </w:p>
    <w:p>
      <w:pPr>
        <w:spacing w:line="360" w:lineRule="auto"/>
        <w:ind w:firstLine="992" w:firstLineChars="400"/>
        <w:rPr>
          <w:rFonts w:ascii="宋体" w:hAnsi="宋体" w:eastAsia="宋体" w:cs="宋体"/>
          <w:spacing w:val="4"/>
          <w:sz w:val="24"/>
        </w:rPr>
      </w:pPr>
      <w:r>
        <w:rPr>
          <w:rFonts w:hint="eastAsia" w:ascii="宋体" w:hAnsi="宋体" w:eastAsia="宋体" w:cs="宋体"/>
          <w:spacing w:val="4"/>
          <w:sz w:val="24"/>
        </w:rPr>
        <w:t>本次采购公告在</w:t>
      </w:r>
      <w:r>
        <w:rPr>
          <w:rFonts w:hint="eastAsia" w:ascii="宋体" w:hAnsi="宋体" w:eastAsia="宋体" w:cs="宋体"/>
          <w:sz w:val="24"/>
        </w:rPr>
        <w:t>江南大学信息化建设管理处官网</w:t>
      </w:r>
      <w:r>
        <w:fldChar w:fldCharType="begin"/>
      </w:r>
      <w:r>
        <w:instrText xml:space="preserve"> HYPERLINK "http://zhaobiao.jiangnan.edu.cn/" </w:instrText>
      </w:r>
      <w:r>
        <w:fldChar w:fldCharType="separate"/>
      </w:r>
      <w:r>
        <w:rPr>
          <w:rStyle w:val="23"/>
          <w:rFonts w:hint="eastAsia" w:ascii="宋体" w:hAnsi="宋体" w:eastAsia="宋体" w:cs="宋体"/>
          <w:color w:val="auto"/>
          <w:sz w:val="24"/>
          <w:u w:val="none"/>
        </w:rPr>
        <w:t>http://nic.jiangnan.</w:t>
      </w:r>
      <w:r>
        <w:rPr>
          <w:rStyle w:val="23"/>
          <w:rFonts w:hint="eastAsia" w:ascii="宋体" w:hAnsi="宋体" w:eastAsia="宋体" w:cs="宋体"/>
          <w:color w:val="auto"/>
          <w:sz w:val="24"/>
          <w:u w:val="none"/>
          <w:lang w:eastAsia="zh-CN"/>
        </w:rPr>
        <w:t>e</w:t>
      </w:r>
      <w:r>
        <w:rPr>
          <w:rStyle w:val="23"/>
          <w:rFonts w:hint="eastAsia" w:ascii="宋体" w:hAnsi="宋体" w:eastAsia="宋体" w:cs="宋体"/>
          <w:color w:val="auto"/>
          <w:sz w:val="24"/>
          <w:u w:val="none"/>
        </w:rPr>
        <w:t>du.cn/</w:t>
      </w:r>
      <w:r>
        <w:rPr>
          <w:rStyle w:val="23"/>
          <w:rFonts w:ascii="宋体" w:hAnsi="宋体" w:eastAsia="宋体" w:cs="宋体"/>
          <w:color w:val="auto"/>
          <w:sz w:val="24"/>
          <w:u w:val="none"/>
        </w:rPr>
        <w:fldChar w:fldCharType="end"/>
      </w:r>
      <w:r>
        <w:rPr>
          <w:rStyle w:val="23"/>
          <w:rFonts w:hint="eastAsia" w:ascii="宋体" w:hAnsi="宋体" w:eastAsia="宋体" w:cs="宋体"/>
          <w:color w:val="auto"/>
          <w:sz w:val="24"/>
          <w:u w:val="none"/>
        </w:rPr>
        <w:t>“采购管理”</w:t>
      </w:r>
      <w:r>
        <w:rPr>
          <w:rFonts w:hint="eastAsia" w:ascii="宋体" w:hAnsi="宋体" w:eastAsia="宋体" w:cs="宋体"/>
          <w:spacing w:val="4"/>
          <w:sz w:val="24"/>
        </w:rPr>
        <w:t>上发布，</w:t>
      </w:r>
      <w:r>
        <w:rPr>
          <w:rFonts w:hint="eastAsia" w:ascii="宋体" w:hAnsi="宋体" w:eastAsia="宋体" w:cs="宋体"/>
          <w:spacing w:val="4"/>
          <w:kern w:val="0"/>
          <w:sz w:val="24"/>
        </w:rPr>
        <w:t>校内分散采购文件</w:t>
      </w:r>
      <w:r>
        <w:rPr>
          <w:rFonts w:hint="eastAsia" w:ascii="宋体" w:hAnsi="宋体" w:eastAsia="宋体" w:cs="宋体"/>
          <w:spacing w:val="4"/>
          <w:sz w:val="24"/>
        </w:rPr>
        <w:t>由供应商自行下载，其他任何媒介上转载的采购信息均为无效，后果自负。</w:t>
      </w:r>
    </w:p>
    <w:p>
      <w:pPr>
        <w:numPr>
          <w:ilvl w:val="0"/>
          <w:numId w:val="2"/>
        </w:numPr>
        <w:spacing w:line="360" w:lineRule="auto"/>
        <w:rPr>
          <w:rFonts w:ascii="宋体" w:hAnsi="宋体"/>
          <w:b/>
          <w:bCs/>
          <w:spacing w:val="4"/>
          <w:sz w:val="24"/>
        </w:rPr>
      </w:pPr>
      <w:r>
        <w:rPr>
          <w:rFonts w:hint="eastAsia" w:ascii="宋体" w:hAnsi="宋体"/>
          <w:b/>
          <w:bCs/>
          <w:spacing w:val="4"/>
          <w:sz w:val="24"/>
        </w:rPr>
        <w:t>报名方式</w:t>
      </w:r>
    </w:p>
    <w:p>
      <w:pPr>
        <w:spacing w:line="360" w:lineRule="auto"/>
        <w:ind w:firstLine="482" w:firstLineChars="200"/>
        <w:rPr>
          <w:rFonts w:ascii="宋体" w:hAnsi="宋体" w:eastAsia="宋体" w:cs="宋体"/>
          <w:sz w:val="24"/>
        </w:rPr>
      </w:pPr>
      <w:r>
        <w:rPr>
          <w:rFonts w:hint="eastAsia" w:ascii="宋体" w:hAnsi="宋体" w:eastAsia="宋体" w:cs="宋体"/>
          <w:b/>
          <w:bCs/>
          <w:sz w:val="24"/>
        </w:rPr>
        <w:t>报名截止时间</w:t>
      </w:r>
      <w:r>
        <w:rPr>
          <w:rFonts w:hint="eastAsia" w:ascii="宋体" w:hAnsi="宋体" w:cs="宋体"/>
          <w:b/>
          <w:bCs/>
          <w:sz w:val="24"/>
          <w:highlight w:val="none"/>
        </w:rPr>
        <w:t>：</w:t>
      </w: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时</w:t>
      </w:r>
      <w:r>
        <w:rPr>
          <w:rFonts w:hint="eastAsia" w:ascii="宋体" w:hAnsi="宋体" w:cs="宋体"/>
          <w:sz w:val="24"/>
          <w:highlight w:val="none"/>
          <w:u w:val="single"/>
        </w:rPr>
        <w:t xml:space="preserve"> 00 </w:t>
      </w:r>
      <w:r>
        <w:rPr>
          <w:rFonts w:hint="eastAsia" w:ascii="宋体" w:hAnsi="宋体" w:eastAsia="宋体" w:cs="宋体"/>
          <w:sz w:val="24"/>
          <w:highlight w:val="none"/>
        </w:rPr>
        <w:t>分，确</w:t>
      </w:r>
      <w:r>
        <w:rPr>
          <w:rFonts w:hint="eastAsia" w:ascii="宋体" w:hAnsi="宋体" w:eastAsia="宋体" w:cs="宋体"/>
          <w:sz w:val="24"/>
        </w:rPr>
        <w:t>定参与本次采购活动的供应商填写完整的“报名确认函”（见附件1），</w:t>
      </w:r>
      <w:r>
        <w:fldChar w:fldCharType="begin"/>
      </w:r>
      <w:r>
        <w:instrText xml:space="preserve"> HYPERLINK "mailto:分前将" </w:instrText>
      </w:r>
      <w:r>
        <w:fldChar w:fldCharType="separate"/>
      </w:r>
      <w:r>
        <w:rPr>
          <w:rFonts w:hint="eastAsia" w:ascii="宋体" w:hAnsi="宋体" w:eastAsia="宋体" w:cs="宋体"/>
          <w:sz w:val="24"/>
        </w:rPr>
        <w:t>并用“采购项目编号+供应商名称”作文件名保存，发送至</w:t>
      </w:r>
      <w:r>
        <w:rPr>
          <w:rFonts w:hint="eastAsia" w:ascii="宋体" w:hAnsi="宋体" w:eastAsia="宋体" w:cs="宋体"/>
          <w:b/>
          <w:bCs/>
          <w:sz w:val="24"/>
        </w:rPr>
        <w:t>报名邮箱</w:t>
      </w:r>
      <w:r>
        <w:rPr>
          <w:rFonts w:hint="eastAsia" w:ascii="宋体" w:hAnsi="宋体" w:eastAsia="宋体" w:cs="宋体"/>
          <w:sz w:val="24"/>
        </w:rPr>
        <w:t>xxhxmcg@jiangnan.</w:t>
      </w:r>
      <w:r>
        <w:rPr>
          <w:rFonts w:hint="eastAsia" w:ascii="宋体" w:hAnsi="宋体" w:eastAsia="宋体" w:cs="宋体"/>
          <w:sz w:val="24"/>
          <w:lang w:eastAsia="zh-CN"/>
        </w:rPr>
        <w:t>e</w:t>
      </w:r>
      <w:r>
        <w:rPr>
          <w:rFonts w:hint="eastAsia" w:ascii="宋体" w:hAnsi="宋体" w:eastAsia="宋体" w:cs="宋体"/>
          <w:sz w:val="24"/>
        </w:rPr>
        <w:t>du.cn。</w:t>
      </w:r>
      <w:r>
        <w:rPr>
          <w:rFonts w:hint="eastAsia" w:ascii="宋体" w:hAnsi="宋体" w:eastAsia="宋体" w:cs="宋体"/>
          <w:sz w:val="24"/>
        </w:rPr>
        <w:fldChar w:fldCharType="end"/>
      </w:r>
    </w:p>
    <w:p>
      <w:pPr>
        <w:spacing w:line="360" w:lineRule="auto"/>
        <w:ind w:firstLine="482" w:firstLineChars="200"/>
        <w:rPr>
          <w:rFonts w:ascii="宋体" w:hAnsi="宋体" w:eastAsia="宋体" w:cs="宋体"/>
          <w:spacing w:val="4"/>
          <w:sz w:val="24"/>
        </w:rPr>
      </w:pPr>
      <w:r>
        <w:rPr>
          <w:rFonts w:hint="eastAsia" w:ascii="宋体" w:hAnsi="宋体" w:eastAsia="宋体" w:cs="宋体"/>
          <w:b/>
          <w:bCs/>
          <w:sz w:val="24"/>
        </w:rPr>
        <w:t>报名时间截止后，如报名人少于2个，将发布延期公告，本项目的报名时间、投标时间和谈判时间顺延2日。</w:t>
      </w:r>
    </w:p>
    <w:p>
      <w:pPr>
        <w:numPr>
          <w:ilvl w:val="0"/>
          <w:numId w:val="2"/>
        </w:numPr>
        <w:spacing w:line="360" w:lineRule="auto"/>
        <w:rPr>
          <w:rFonts w:ascii="宋体" w:hAnsi="宋体"/>
          <w:b/>
          <w:bCs/>
          <w:spacing w:val="4"/>
          <w:sz w:val="24"/>
        </w:rPr>
      </w:pPr>
      <w:r>
        <w:rPr>
          <w:rFonts w:hint="eastAsia" w:ascii="宋体" w:hAnsi="宋体"/>
          <w:b/>
          <w:bCs/>
          <w:spacing w:val="4"/>
          <w:sz w:val="24"/>
        </w:rPr>
        <w:t>投标方式</w:t>
      </w:r>
    </w:p>
    <w:p>
      <w:pPr>
        <w:spacing w:line="360" w:lineRule="auto"/>
        <w:ind w:firstLine="480" w:firstLineChars="200"/>
        <w:rPr>
          <w:rFonts w:ascii="宋体" w:hAnsi="宋体" w:eastAsia="宋体" w:cs="宋体"/>
          <w:sz w:val="24"/>
        </w:rPr>
      </w:pPr>
      <w:r>
        <w:rPr>
          <w:rFonts w:hint="default" w:ascii="Times New Roman" w:hAnsi="Times New Roman" w:eastAsia="宋体" w:cs="Times New Roman"/>
          <w:sz w:val="24"/>
        </w:rPr>
        <w:t>供应商到达现场进行采购谈判</w:t>
      </w:r>
      <w:r>
        <w:rPr>
          <w:rFonts w:hint="eastAsia" w:ascii="Times New Roman" w:hAnsi="Times New Roman" w:eastAsia="宋体" w:cs="Times New Roman"/>
          <w:sz w:val="24"/>
          <w:lang w:val="en-US" w:eastAsia="zh-CN"/>
        </w:rPr>
        <w:t>时</w:t>
      </w:r>
      <w:r>
        <w:rPr>
          <w:rFonts w:hint="default" w:ascii="Times New Roman" w:hAnsi="Times New Roman" w:eastAsia="宋体" w:cs="Times New Roman"/>
          <w:sz w:val="24"/>
        </w:rPr>
        <w:t>，将标书送至现场。</w:t>
      </w:r>
    </w:p>
    <w:p>
      <w:pPr>
        <w:numPr>
          <w:ilvl w:val="0"/>
          <w:numId w:val="2"/>
        </w:numPr>
        <w:spacing w:line="360" w:lineRule="auto"/>
        <w:rPr>
          <w:rFonts w:ascii="宋体" w:hAnsi="宋体"/>
          <w:b/>
          <w:bCs/>
          <w:spacing w:val="4"/>
          <w:sz w:val="24"/>
        </w:rPr>
      </w:pPr>
      <w:r>
        <w:rPr>
          <w:rFonts w:hint="eastAsia" w:ascii="宋体" w:hAnsi="宋体"/>
          <w:b/>
          <w:bCs/>
          <w:spacing w:val="4"/>
          <w:sz w:val="24"/>
        </w:rPr>
        <w:t>谈判方式</w:t>
      </w:r>
    </w:p>
    <w:p>
      <w:pPr>
        <w:numPr>
          <w:ilvl w:val="0"/>
          <w:numId w:val="3"/>
        </w:numPr>
        <w:spacing w:line="360" w:lineRule="auto"/>
        <w:ind w:firstLine="498" w:firstLineChars="200"/>
        <w:rPr>
          <w:rFonts w:ascii="宋体" w:hAnsi="宋体" w:eastAsia="宋体" w:cs="宋体"/>
          <w:b/>
          <w:bCs/>
          <w:spacing w:val="4"/>
          <w:sz w:val="24"/>
        </w:rPr>
      </w:pPr>
      <w:r>
        <w:rPr>
          <w:rFonts w:hint="eastAsia" w:ascii="宋体" w:hAnsi="宋体" w:eastAsia="宋体" w:cs="宋体"/>
          <w:b/>
          <w:bCs/>
          <w:spacing w:val="4"/>
          <w:sz w:val="24"/>
        </w:rPr>
        <w:t>现场谈判。</w:t>
      </w:r>
    </w:p>
    <w:p>
      <w:pPr>
        <w:numPr>
          <w:ilvl w:val="0"/>
          <w:numId w:val="3"/>
        </w:numPr>
        <w:spacing w:line="360" w:lineRule="auto"/>
        <w:ind w:firstLine="498" w:firstLineChars="200"/>
        <w:rPr>
          <w:rFonts w:ascii="宋体" w:hAnsi="宋体" w:eastAsia="宋体" w:cs="宋体"/>
          <w:spacing w:val="4"/>
          <w:sz w:val="24"/>
        </w:rPr>
      </w:pPr>
      <w:r>
        <w:rPr>
          <w:rFonts w:hint="eastAsia" w:ascii="宋体" w:hAnsi="宋体" w:eastAsia="宋体" w:cs="宋体"/>
          <w:b/>
          <w:bCs/>
          <w:spacing w:val="4"/>
          <w:sz w:val="24"/>
        </w:rPr>
        <w:t>谈判时间</w:t>
      </w:r>
      <w:r>
        <w:rPr>
          <w:rFonts w:hint="eastAsia" w:ascii="宋体" w:hAnsi="宋体" w:eastAsia="宋体" w:cs="宋体"/>
          <w:b/>
          <w:bCs/>
          <w:spacing w:val="4"/>
          <w:sz w:val="24"/>
          <w:highlight w:val="none"/>
        </w:rPr>
        <w:t>：</w:t>
      </w:r>
      <w:r>
        <w:rPr>
          <w:rFonts w:hint="eastAsia" w:ascii="宋体" w:hAnsi="宋体" w:eastAsia="宋体" w:cs="宋体"/>
          <w:b w:val="0"/>
          <w:bCs w:val="0"/>
          <w:spacing w:val="4"/>
          <w:sz w:val="24"/>
          <w:szCs w:val="24"/>
          <w:highlight w:val="none"/>
          <w:lang w:val="en-US" w:eastAsia="zh-CN"/>
        </w:rPr>
        <w:t>2024年7月24日10时00分。</w:t>
      </w:r>
    </w:p>
    <w:p>
      <w:pPr>
        <w:spacing w:line="360" w:lineRule="auto"/>
        <w:ind w:left="420"/>
        <w:rPr>
          <w:rFonts w:ascii="宋体" w:hAnsi="宋体"/>
          <w:b/>
          <w:bCs/>
          <w:spacing w:val="4"/>
          <w:sz w:val="24"/>
        </w:rPr>
      </w:pPr>
    </w:p>
    <w:p>
      <w:pPr>
        <w:numPr>
          <w:ilvl w:val="0"/>
          <w:numId w:val="2"/>
        </w:numPr>
        <w:spacing w:line="360" w:lineRule="auto"/>
        <w:rPr>
          <w:rFonts w:ascii="宋体" w:hAnsi="宋体"/>
          <w:b/>
          <w:bCs/>
          <w:spacing w:val="4"/>
          <w:sz w:val="24"/>
        </w:rPr>
      </w:pPr>
      <w:r>
        <w:rPr>
          <w:rFonts w:hint="eastAsia" w:ascii="宋体" w:hAnsi="宋体"/>
          <w:b/>
          <w:bCs/>
          <w:spacing w:val="4"/>
          <w:sz w:val="24"/>
        </w:rPr>
        <w:t>谈判地点</w:t>
      </w:r>
    </w:p>
    <w:p>
      <w:pPr>
        <w:spacing w:line="360" w:lineRule="auto"/>
        <w:ind w:left="420" w:leftChars="200" w:firstLine="496" w:firstLineChars="200"/>
        <w:rPr>
          <w:rFonts w:hint="default" w:ascii="宋体" w:hAnsi="宋体" w:eastAsia="宋体" w:cs="宋体"/>
          <w:sz w:val="24"/>
          <w:lang w:val="en-US" w:eastAsia="zh-CN"/>
        </w:rPr>
      </w:pPr>
      <w:r>
        <w:rPr>
          <w:rFonts w:hint="eastAsia" w:ascii="宋体" w:hAnsi="宋体" w:eastAsia="宋体" w:cs="宋体"/>
          <w:spacing w:val="4"/>
          <w:sz w:val="24"/>
        </w:rPr>
        <w:t>江南大学逸夫楼</w:t>
      </w:r>
      <w:r>
        <w:rPr>
          <w:rFonts w:hint="eastAsia" w:ascii="宋体" w:hAnsi="宋体" w:eastAsia="宋体" w:cs="宋体"/>
          <w:spacing w:val="4"/>
          <w:sz w:val="24"/>
          <w:lang w:val="en-US" w:eastAsia="zh-CN"/>
        </w:rPr>
        <w:t>A202</w:t>
      </w:r>
    </w:p>
    <w:p>
      <w:pPr>
        <w:numPr>
          <w:ilvl w:val="0"/>
          <w:numId w:val="2"/>
        </w:numPr>
        <w:spacing w:line="360" w:lineRule="auto"/>
        <w:rPr>
          <w:rFonts w:ascii="宋体" w:hAnsi="宋体"/>
          <w:b/>
          <w:bCs/>
          <w:spacing w:val="4"/>
          <w:sz w:val="24"/>
        </w:rPr>
      </w:pPr>
      <w:r>
        <w:rPr>
          <w:rFonts w:hint="eastAsia" w:ascii="宋体" w:hAnsi="宋体"/>
          <w:b/>
          <w:bCs/>
          <w:spacing w:val="4"/>
          <w:sz w:val="24"/>
        </w:rPr>
        <w:t>与本次校内分散采购有关的事宜请按下列通讯方式联系：</w:t>
      </w:r>
    </w:p>
    <w:p>
      <w:pPr>
        <w:spacing w:line="360" w:lineRule="auto"/>
        <w:ind w:firstLine="496" w:firstLineChars="200"/>
        <w:rPr>
          <w:rFonts w:ascii="宋体" w:hAnsi="宋体" w:eastAsia="宋体" w:cs="宋体"/>
          <w:spacing w:val="4"/>
          <w:sz w:val="24"/>
        </w:rPr>
      </w:pPr>
      <w:r>
        <w:rPr>
          <w:rFonts w:hint="eastAsia" w:ascii="宋体" w:hAnsi="宋体" w:eastAsia="宋体" w:cs="宋体"/>
          <w:spacing w:val="4"/>
          <w:sz w:val="24"/>
        </w:rPr>
        <w:t>单位部门：江南大学信息化建设管理处</w:t>
      </w:r>
    </w:p>
    <w:p>
      <w:pPr>
        <w:spacing w:line="360" w:lineRule="auto"/>
        <w:ind w:firstLine="496" w:firstLineChars="200"/>
        <w:rPr>
          <w:rFonts w:ascii="宋体" w:hAnsi="宋体" w:eastAsia="宋体" w:cs="宋体"/>
          <w:spacing w:val="4"/>
          <w:sz w:val="24"/>
        </w:rPr>
      </w:pPr>
      <w:r>
        <w:rPr>
          <w:rFonts w:hint="eastAsia" w:ascii="宋体" w:hAnsi="宋体" w:eastAsia="宋体" w:cs="宋体"/>
          <w:spacing w:val="4"/>
          <w:sz w:val="24"/>
        </w:rPr>
        <w:t>联系地址：江苏省无锡市蠡湖大道1800号  邮政编码：214122</w:t>
      </w:r>
    </w:p>
    <w:p>
      <w:pPr>
        <w:spacing w:line="360" w:lineRule="auto"/>
        <w:ind w:firstLine="496" w:firstLineChars="200"/>
        <w:rPr>
          <w:rFonts w:ascii="宋体" w:hAnsi="宋体" w:cs="宋体"/>
          <w:spacing w:val="4"/>
          <w:sz w:val="24"/>
        </w:rPr>
      </w:pPr>
      <w:r>
        <w:rPr>
          <w:rFonts w:hint="eastAsia" w:ascii="宋体" w:hAnsi="宋体" w:cs="宋体"/>
          <w:spacing w:val="4"/>
          <w:sz w:val="24"/>
        </w:rPr>
        <w:t>联系人：</w:t>
      </w:r>
      <w:r>
        <w:rPr>
          <w:rFonts w:hint="eastAsia" w:ascii="宋体" w:hAnsi="宋体" w:eastAsia="宋体" w:cs="宋体"/>
          <w:spacing w:val="4"/>
          <w:sz w:val="24"/>
        </w:rPr>
        <w:t>辛老师</w:t>
      </w:r>
      <w:r>
        <w:rPr>
          <w:rFonts w:hint="eastAsia" w:ascii="宋体" w:hAnsi="宋体" w:cs="宋体"/>
          <w:spacing w:val="4"/>
          <w:sz w:val="24"/>
        </w:rPr>
        <w:t xml:space="preserve">                   </w:t>
      </w:r>
      <w:r>
        <w:rPr>
          <w:rFonts w:hint="eastAsia" w:ascii="宋体" w:hAnsi="宋体" w:eastAsia="宋体" w:cs="宋体"/>
          <w:spacing w:val="4"/>
          <w:sz w:val="24"/>
        </w:rPr>
        <w:t xml:space="preserve">联系电话：0510-85326800 </w:t>
      </w:r>
      <w:r>
        <w:rPr>
          <w:rFonts w:hint="eastAsia" w:ascii="宋体" w:hAnsi="宋体" w:cs="宋体"/>
          <w:spacing w:val="4"/>
          <w:sz w:val="24"/>
        </w:rPr>
        <w:t xml:space="preserve"> </w:t>
      </w:r>
    </w:p>
    <w:p>
      <w:pPr>
        <w:rPr>
          <w:rFonts w:ascii="宋体" w:hAnsi="宋体" w:cs="宋体"/>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p>
    <w:p>
      <w:pPr>
        <w:pStyle w:val="3"/>
        <w:rPr>
          <w:rFonts w:ascii="宋体" w:hAnsi="宋体"/>
        </w:rPr>
      </w:pPr>
      <w:bookmarkStart w:id="1" w:name="_Toc5504"/>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
      <w:pPr>
        <w:rPr>
          <w:rFonts w:hint="eastAsia" w:ascii="宋体" w:hAnsi="宋体"/>
        </w:rPr>
      </w:pPr>
      <w:r>
        <w:rPr>
          <w:rFonts w:hint="eastAsia" w:ascii="宋体" w:hAnsi="宋体"/>
        </w:rPr>
        <w:br w:type="page"/>
      </w:r>
    </w:p>
    <w:p>
      <w:pPr>
        <w:pStyle w:val="3"/>
        <w:jc w:val="center"/>
        <w:rPr>
          <w:rFonts w:ascii="宋体" w:hAnsi="宋体"/>
        </w:rPr>
      </w:pPr>
      <w:r>
        <w:rPr>
          <w:rFonts w:hint="eastAsia" w:ascii="宋体" w:hAnsi="宋体"/>
        </w:rPr>
        <w:t>第二部分 供应商须知</w:t>
      </w:r>
      <w:bookmarkEnd w:id="1"/>
    </w:p>
    <w:p>
      <w:pPr>
        <w:pStyle w:val="4"/>
        <w:numPr>
          <w:ilvl w:val="0"/>
          <w:numId w:val="4"/>
        </w:numPr>
        <w:spacing w:before="0" w:after="0" w:line="420" w:lineRule="auto"/>
        <w:rPr>
          <w:rFonts w:ascii="宋体" w:hAnsi="宋体" w:eastAsia="宋体" w:cs="宋体"/>
          <w:bCs w:val="0"/>
          <w:sz w:val="24"/>
        </w:rPr>
      </w:pPr>
      <w:bookmarkStart w:id="2" w:name="_Toc12098"/>
      <w:r>
        <w:rPr>
          <w:rFonts w:hint="eastAsia" w:ascii="宋体" w:hAnsi="宋体"/>
        </w:rPr>
        <w:t>采购文件</w:t>
      </w:r>
      <w:bookmarkEnd w:id="2"/>
    </w:p>
    <w:p>
      <w:pPr>
        <w:pStyle w:val="4"/>
        <w:spacing w:before="0" w:after="0" w:line="420" w:lineRule="auto"/>
        <w:ind w:firstLine="482" w:firstLineChars="200"/>
        <w:rPr>
          <w:rFonts w:ascii="宋体" w:hAnsi="宋体" w:eastAsia="宋体" w:cs="宋体"/>
          <w:bCs w:val="0"/>
          <w:sz w:val="24"/>
        </w:rPr>
      </w:pPr>
      <w:r>
        <w:rPr>
          <w:rFonts w:hint="eastAsia" w:ascii="宋体" w:hAnsi="宋体" w:eastAsia="宋体" w:cs="宋体"/>
          <w:bCs w:val="0"/>
          <w:sz w:val="24"/>
        </w:rPr>
        <w:t>1.1 名词定义</w:t>
      </w:r>
    </w:p>
    <w:p>
      <w:pPr>
        <w:spacing w:line="360" w:lineRule="auto"/>
        <w:ind w:firstLine="480" w:firstLineChars="200"/>
        <w:rPr>
          <w:rFonts w:ascii="宋体" w:hAnsi="宋体"/>
          <w:sz w:val="24"/>
        </w:rPr>
      </w:pPr>
      <w:r>
        <w:rPr>
          <w:rFonts w:hint="eastAsia" w:ascii="宋体" w:hAnsi="宋体"/>
          <w:sz w:val="24"/>
        </w:rPr>
        <w:t>本招标文件中的采购人、供应商、中标人分别指：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）采购人指江南大学，亦称买方。</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）供应商指响应校内分散采购并具备相应资质的参与投标的生产厂家、经销商。</w:t>
      </w:r>
    </w:p>
    <w:p>
      <w:pPr>
        <w:spacing w:line="360" w:lineRule="auto"/>
        <w:ind w:firstLine="480" w:firstLineChars="200"/>
        <w:rPr>
          <w:rFonts w:ascii="宋体" w:hAnsi="宋体"/>
          <w:sz w:val="24"/>
        </w:rPr>
      </w:pPr>
      <w:r>
        <w:rPr>
          <w:rFonts w:hint="eastAsia" w:ascii="宋体" w:hAnsi="宋体"/>
          <w:sz w:val="24"/>
        </w:rPr>
        <w:t>（3）中标人指最后中标的供应商，亦称卖方。</w:t>
      </w:r>
    </w:p>
    <w:p>
      <w:pPr>
        <w:spacing w:line="360" w:lineRule="auto"/>
        <w:ind w:firstLine="482" w:firstLineChars="200"/>
        <w:rPr>
          <w:rFonts w:ascii="宋体" w:hAnsi="宋体"/>
          <w:b/>
          <w:sz w:val="24"/>
        </w:rPr>
      </w:pPr>
      <w:r>
        <w:rPr>
          <w:rFonts w:hint="eastAsia" w:ascii="宋体" w:hAnsi="宋体"/>
          <w:b/>
          <w:sz w:val="24"/>
        </w:rPr>
        <w:t>1</w:t>
      </w:r>
      <w:r>
        <w:rPr>
          <w:rFonts w:ascii="宋体" w:hAnsi="宋体"/>
          <w:b/>
          <w:sz w:val="24"/>
        </w:rPr>
        <w:t>.</w:t>
      </w:r>
      <w:r>
        <w:rPr>
          <w:rFonts w:hint="eastAsia" w:ascii="宋体" w:hAnsi="宋体"/>
          <w:b/>
          <w:sz w:val="24"/>
        </w:rPr>
        <w:t>2</w:t>
      </w:r>
      <w:r>
        <w:rPr>
          <w:rFonts w:ascii="宋体" w:hAnsi="宋体"/>
          <w:b/>
          <w:sz w:val="24"/>
        </w:rPr>
        <w:t xml:space="preserve"> </w:t>
      </w:r>
      <w:r>
        <w:rPr>
          <w:rFonts w:hint="eastAsia" w:ascii="宋体" w:hAnsi="宋体"/>
          <w:b/>
          <w:sz w:val="24"/>
        </w:rPr>
        <w:t>采购文件的组成</w:t>
      </w:r>
    </w:p>
    <w:p>
      <w:pPr>
        <w:spacing w:line="360" w:lineRule="auto"/>
        <w:ind w:firstLine="480" w:firstLineChars="200"/>
        <w:rPr>
          <w:rFonts w:ascii="宋体" w:hAnsi="宋体"/>
          <w:sz w:val="24"/>
        </w:rPr>
      </w:pPr>
      <w:r>
        <w:rPr>
          <w:rFonts w:hint="eastAsia" w:ascii="宋体" w:hAnsi="宋体"/>
          <w:sz w:val="24"/>
        </w:rPr>
        <w:t>本采购文件由下列部分组成：</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）校内分散采购邀请</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）供应商须知</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）信息化项目校内分散采购需求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）合同主要条款</w:t>
      </w:r>
    </w:p>
    <w:p>
      <w:pPr>
        <w:spacing w:line="360" w:lineRule="auto"/>
        <w:ind w:firstLine="480" w:firstLineChars="200"/>
        <w:rPr>
          <w:rFonts w:ascii="宋体" w:hAnsi="宋体"/>
          <w:sz w:val="24"/>
        </w:rPr>
      </w:pPr>
      <w:r>
        <w:rPr>
          <w:rFonts w:hint="eastAsia" w:ascii="宋体" w:hAnsi="宋体"/>
          <w:sz w:val="24"/>
        </w:rPr>
        <w:t>（5）附件目录及格式</w:t>
      </w:r>
    </w:p>
    <w:p>
      <w:pPr>
        <w:spacing w:line="360" w:lineRule="auto"/>
        <w:ind w:firstLine="480" w:firstLineChars="200"/>
        <w:rPr>
          <w:rFonts w:ascii="宋体" w:hAnsi="宋体"/>
          <w:sz w:val="24"/>
        </w:rPr>
      </w:pPr>
      <w:r>
        <w:rPr>
          <w:rFonts w:ascii="宋体" w:hAnsi="宋体" w:eastAsia="宋体" w:cs="宋体"/>
          <w:sz w:val="24"/>
        </w:rPr>
        <w:t>供应商应当按照</w:t>
      </w:r>
      <w:r>
        <w:rPr>
          <w:rFonts w:hint="eastAsia" w:ascii="宋体" w:hAnsi="宋体" w:eastAsia="宋体" w:cs="宋体"/>
          <w:sz w:val="24"/>
        </w:rPr>
        <w:t>校内分散采购</w:t>
      </w:r>
      <w:r>
        <w:rPr>
          <w:rFonts w:ascii="宋体" w:hAnsi="宋体" w:eastAsia="宋体" w:cs="宋体"/>
          <w:sz w:val="24"/>
        </w:rPr>
        <w:t>文件的要求编制投标文件。投标文件应当对</w:t>
      </w:r>
      <w:r>
        <w:rPr>
          <w:rFonts w:hint="eastAsia" w:ascii="宋体" w:hAnsi="宋体" w:eastAsia="宋体" w:cs="宋体"/>
          <w:sz w:val="24"/>
        </w:rPr>
        <w:t>校内分散采购</w:t>
      </w:r>
      <w:r>
        <w:rPr>
          <w:rFonts w:ascii="宋体" w:hAnsi="宋体" w:eastAsia="宋体" w:cs="宋体"/>
          <w:sz w:val="24"/>
        </w:rPr>
        <w:t>文件提出的要求和条件作出明确响应。</w:t>
      </w:r>
    </w:p>
    <w:p>
      <w:pPr>
        <w:pStyle w:val="4"/>
        <w:numPr>
          <w:ilvl w:val="0"/>
          <w:numId w:val="4"/>
        </w:numPr>
        <w:spacing w:before="0" w:after="0" w:line="420" w:lineRule="auto"/>
        <w:rPr>
          <w:rFonts w:ascii="宋体" w:hAnsi="宋体"/>
        </w:rPr>
      </w:pPr>
      <w:bookmarkStart w:id="3" w:name="_Toc16158"/>
      <w:r>
        <w:rPr>
          <w:rFonts w:hint="eastAsia" w:ascii="宋体" w:hAnsi="宋体"/>
        </w:rPr>
        <w:t>投标</w:t>
      </w:r>
      <w:bookmarkEnd w:id="3"/>
      <w:r>
        <w:rPr>
          <w:rFonts w:hint="eastAsia" w:ascii="宋体" w:hAnsi="宋体"/>
        </w:rPr>
        <w:t>文件的编制</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2.1 </w:t>
      </w:r>
      <w:r>
        <w:rPr>
          <w:rFonts w:ascii="宋体" w:hAnsi="宋体" w:eastAsia="宋体" w:cs="宋体"/>
          <w:b/>
          <w:bCs/>
          <w:sz w:val="24"/>
        </w:rPr>
        <w:t xml:space="preserve">投标文件的语言及度量衡单位 </w:t>
      </w:r>
    </w:p>
    <w:p>
      <w:pPr>
        <w:spacing w:line="360" w:lineRule="auto"/>
        <w:ind w:firstLine="480" w:firstLineChars="200"/>
        <w:rPr>
          <w:rFonts w:ascii="宋体" w:hAnsi="宋体" w:eastAsia="宋体" w:cs="宋体"/>
          <w:sz w:val="24"/>
        </w:rPr>
      </w:pPr>
      <w:r>
        <w:rPr>
          <w:rFonts w:ascii="宋体" w:hAnsi="宋体" w:eastAsia="宋体" w:cs="宋体"/>
          <w:sz w:val="24"/>
        </w:rPr>
        <w:t>（1）供应商提交的招标文件以及供应商与采购人就此</w:t>
      </w:r>
      <w:r>
        <w:rPr>
          <w:rFonts w:hint="eastAsia" w:ascii="宋体" w:hAnsi="宋体" w:eastAsia="宋体" w:cs="宋体"/>
          <w:sz w:val="24"/>
        </w:rPr>
        <w:t>采购</w:t>
      </w:r>
      <w:r>
        <w:rPr>
          <w:rFonts w:ascii="宋体" w:hAnsi="宋体" w:eastAsia="宋体" w:cs="宋体"/>
          <w:sz w:val="24"/>
        </w:rPr>
        <w:t xml:space="preserve">过程中发生的所有来往函电均应使用简体中文。 </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）除</w:t>
      </w:r>
      <w:r>
        <w:rPr>
          <w:rFonts w:hint="eastAsia" w:ascii="宋体" w:hAnsi="宋体" w:eastAsia="宋体" w:cs="宋体"/>
          <w:sz w:val="24"/>
        </w:rPr>
        <w:t>校内分散采购</w:t>
      </w:r>
      <w:r>
        <w:rPr>
          <w:rFonts w:ascii="宋体" w:hAnsi="宋体" w:eastAsia="宋体" w:cs="宋体"/>
          <w:sz w:val="24"/>
        </w:rPr>
        <w:t xml:space="preserve">文件中另有规定外，投标文件所使用的度量衡单位，均须采用中华人民共和国法定计量单位。 </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）附有外文资料的须翻译成中文，并加盖供应商公章。</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2.2 </w:t>
      </w:r>
      <w:r>
        <w:rPr>
          <w:rFonts w:ascii="宋体" w:hAnsi="宋体" w:eastAsia="宋体" w:cs="宋体"/>
          <w:b/>
          <w:bCs/>
          <w:sz w:val="24"/>
        </w:rPr>
        <w:t xml:space="preserve">报价及币种 </w:t>
      </w:r>
    </w:p>
    <w:p>
      <w:pPr>
        <w:spacing w:line="360" w:lineRule="auto"/>
        <w:ind w:firstLine="480" w:firstLineChars="200"/>
        <w:rPr>
          <w:rFonts w:ascii="宋体" w:hAnsi="宋体" w:eastAsia="宋体" w:cs="宋体"/>
          <w:sz w:val="24"/>
        </w:rPr>
      </w:pPr>
      <w:r>
        <w:rPr>
          <w:rFonts w:ascii="宋体" w:hAnsi="宋体" w:eastAsia="宋体" w:cs="宋体"/>
          <w:sz w:val="24"/>
        </w:rPr>
        <w:t xml:space="preserve">（1）报价是完税后的用户地交货价。报价必须包括：产品费、验收费、手续费、包装费、运输费、保险费、安装费、调试费、培训费、售前、售中、售后服务费、税金及不可预见费等全部费用。 </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2</w:t>
      </w:r>
      <w:r>
        <w:rPr>
          <w:rFonts w:ascii="宋体" w:hAnsi="宋体" w:eastAsia="宋体" w:cs="宋体"/>
          <w:sz w:val="24"/>
        </w:rPr>
        <w:t>）报价币种以人民币报价。</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2.3 </w:t>
      </w:r>
      <w:r>
        <w:rPr>
          <w:rFonts w:ascii="宋体" w:hAnsi="宋体" w:eastAsia="宋体" w:cs="宋体"/>
          <w:b/>
          <w:bCs/>
          <w:sz w:val="24"/>
        </w:rPr>
        <w:t xml:space="preserve">投标有效期 </w:t>
      </w:r>
    </w:p>
    <w:p>
      <w:pPr>
        <w:spacing w:line="360" w:lineRule="auto"/>
        <w:ind w:firstLine="480" w:firstLineChars="200"/>
        <w:rPr>
          <w:rFonts w:ascii="宋体" w:hAnsi="宋体" w:eastAsia="宋体" w:cs="宋体"/>
          <w:sz w:val="24"/>
        </w:rPr>
      </w:pPr>
      <w:r>
        <w:rPr>
          <w:rFonts w:ascii="宋体" w:hAnsi="宋体" w:eastAsia="宋体" w:cs="宋体"/>
          <w:sz w:val="24"/>
        </w:rPr>
        <w:t>从投标人提交投标文件之日起，投标文件的有效期为90天。</w:t>
      </w:r>
    </w:p>
    <w:p>
      <w:pPr>
        <w:spacing w:line="360" w:lineRule="auto"/>
        <w:ind w:firstLine="482" w:firstLineChars="200"/>
        <w:rPr>
          <w:rFonts w:ascii="宋体" w:hAnsi="宋体"/>
          <w:b/>
          <w:bCs/>
          <w:sz w:val="24"/>
        </w:rPr>
      </w:pPr>
      <w:r>
        <w:rPr>
          <w:rFonts w:hint="eastAsia" w:ascii="宋体" w:hAnsi="宋体"/>
          <w:b/>
          <w:bCs/>
          <w:sz w:val="24"/>
        </w:rPr>
        <w:t>2.4 投标文件的组成</w:t>
      </w:r>
    </w:p>
    <w:p>
      <w:pPr>
        <w:spacing w:line="360" w:lineRule="auto"/>
        <w:ind w:firstLine="480" w:firstLineChars="200"/>
        <w:rPr>
          <w:rFonts w:asciiTheme="minorEastAsia" w:hAnsiTheme="minorEastAsia"/>
          <w:sz w:val="24"/>
        </w:rPr>
      </w:pPr>
      <w:r>
        <w:rPr>
          <w:rFonts w:hint="eastAsia"/>
          <w:sz w:val="24"/>
        </w:rPr>
        <w:t>供应商编写的投标文件</w:t>
      </w:r>
      <w:r>
        <w:rPr>
          <w:sz w:val="24"/>
        </w:rPr>
        <w:t>按如下</w:t>
      </w:r>
      <w:r>
        <w:rPr>
          <w:rFonts w:hint="eastAsia" w:ascii="宋体" w:hAnsi="宋体"/>
          <w:b/>
          <w:sz w:val="24"/>
        </w:rPr>
        <w:t>目录顺序编制</w:t>
      </w:r>
      <w:r>
        <w:rPr>
          <w:rFonts w:hint="eastAsia" w:asciiTheme="minorEastAsia" w:hAnsiTheme="minorEastAsia"/>
          <w:sz w:val="24"/>
        </w:rPr>
        <w:t>：</w:t>
      </w:r>
    </w:p>
    <w:p>
      <w:pPr>
        <w:spacing w:line="360" w:lineRule="auto"/>
        <w:ind w:firstLine="480" w:firstLineChars="200"/>
        <w:rPr>
          <w:rFonts w:asciiTheme="minorEastAsia" w:hAnsiTheme="minorEastAsia"/>
          <w:sz w:val="24"/>
        </w:rPr>
      </w:pPr>
      <w:r>
        <w:rPr>
          <w:rFonts w:hint="eastAsia" w:asciiTheme="minorEastAsia" w:hAnsiTheme="minorEastAsia"/>
          <w:sz w:val="24"/>
        </w:rPr>
        <w:t>（</w:t>
      </w:r>
      <w:r>
        <w:rPr>
          <w:rFonts w:asciiTheme="minorEastAsia" w:hAnsiTheme="minorEastAsia"/>
          <w:sz w:val="24"/>
        </w:rPr>
        <w:t>1</w:t>
      </w:r>
      <w:r>
        <w:rPr>
          <w:rFonts w:hint="eastAsia" w:asciiTheme="minorEastAsia" w:hAnsiTheme="minorEastAsia"/>
          <w:sz w:val="24"/>
        </w:rPr>
        <w:t>）目录索引；</w:t>
      </w:r>
    </w:p>
    <w:p>
      <w:pPr>
        <w:spacing w:line="360" w:lineRule="auto"/>
        <w:ind w:firstLine="480" w:firstLineChars="200"/>
        <w:rPr>
          <w:rFonts w:ascii="宋体" w:hAnsi="宋体"/>
          <w:sz w:val="24"/>
        </w:rPr>
      </w:pPr>
      <w:r>
        <w:rPr>
          <w:rFonts w:hint="eastAsia" w:ascii="宋体" w:hAnsi="宋体"/>
          <w:sz w:val="24"/>
        </w:rPr>
        <w:t>（2）投标函（格式见附件2）；</w:t>
      </w:r>
    </w:p>
    <w:p>
      <w:pPr>
        <w:spacing w:line="360" w:lineRule="auto"/>
        <w:ind w:firstLine="480" w:firstLineChars="200"/>
        <w:rPr>
          <w:rFonts w:ascii="宋体" w:hAnsi="宋体"/>
          <w:sz w:val="24"/>
        </w:rPr>
      </w:pPr>
      <w:r>
        <w:rPr>
          <w:rFonts w:hint="eastAsia" w:ascii="宋体" w:hAnsi="宋体"/>
          <w:sz w:val="24"/>
        </w:rPr>
        <w:t>（3）</w:t>
      </w:r>
      <w:r>
        <w:rPr>
          <w:rFonts w:ascii="宋体" w:hAnsi="宋体" w:eastAsia="宋体" w:cs="宋体"/>
          <w:sz w:val="24"/>
        </w:rPr>
        <w:t>供应商资格证明文件</w:t>
      </w:r>
      <w:r>
        <w:rPr>
          <w:rFonts w:ascii="宋体" w:hAnsi="宋体" w:eastAsia="宋体" w:cs="宋体"/>
          <w:b/>
          <w:bCs/>
          <w:sz w:val="24"/>
        </w:rPr>
        <w:t>（详见 2.5.）</w:t>
      </w:r>
      <w:r>
        <w:rPr>
          <w:rFonts w:hint="eastAsia" w:ascii="宋体" w:hAnsi="宋体"/>
          <w:b/>
          <w:bCs/>
          <w:sz w:val="24"/>
        </w:rPr>
        <w:t>；</w:t>
      </w:r>
    </w:p>
    <w:p>
      <w:pPr>
        <w:spacing w:line="360" w:lineRule="auto"/>
        <w:ind w:firstLine="480" w:firstLineChars="200"/>
        <w:rPr>
          <w:rFonts w:ascii="宋体" w:hAnsi="宋体"/>
          <w:sz w:val="24"/>
        </w:rPr>
      </w:pPr>
      <w:r>
        <w:rPr>
          <w:rFonts w:hint="eastAsia" w:ascii="宋体" w:hAnsi="宋体"/>
          <w:sz w:val="24"/>
        </w:rPr>
        <w:t>（4）项目清单及分项报价表（格式见附件3）；</w:t>
      </w:r>
    </w:p>
    <w:p>
      <w:pPr>
        <w:spacing w:line="360" w:lineRule="auto"/>
        <w:ind w:firstLine="480" w:firstLineChars="200"/>
        <w:rPr>
          <w:rFonts w:ascii="宋体" w:hAnsi="宋体"/>
          <w:sz w:val="24"/>
        </w:rPr>
      </w:pPr>
      <w:r>
        <w:rPr>
          <w:rFonts w:hint="eastAsia" w:ascii="宋体" w:hAnsi="宋体"/>
          <w:sz w:val="24"/>
        </w:rPr>
        <w:t>（5）技术规格响应/偏离表（格式见附件4）；</w:t>
      </w:r>
    </w:p>
    <w:p>
      <w:pPr>
        <w:spacing w:line="360" w:lineRule="auto"/>
        <w:ind w:firstLine="480" w:firstLineChars="200"/>
        <w:rPr>
          <w:rFonts w:ascii="宋体" w:hAnsi="宋体" w:cs="宋体"/>
          <w:sz w:val="24"/>
        </w:rPr>
      </w:pPr>
      <w:r>
        <w:rPr>
          <w:rFonts w:hint="eastAsia" w:ascii="宋体" w:hAnsi="宋体" w:cs="宋体"/>
          <w:sz w:val="24"/>
        </w:rPr>
        <w:t>（6）项目要求及有关说明中要求提供的相关材料；</w:t>
      </w:r>
    </w:p>
    <w:p>
      <w:pPr>
        <w:spacing w:line="360" w:lineRule="auto"/>
        <w:ind w:firstLine="480" w:firstLineChars="200"/>
        <w:rPr>
          <w:rFonts w:ascii="宋体" w:hAnsi="宋体" w:cs="宋体"/>
          <w:sz w:val="24"/>
        </w:rPr>
      </w:pPr>
      <w:r>
        <w:rPr>
          <w:rFonts w:hint="eastAsia" w:ascii="宋体" w:hAnsi="宋体" w:cs="宋体"/>
          <w:sz w:val="24"/>
        </w:rPr>
        <w:t>（7）供应商认为需要陈述的其他内容。</w:t>
      </w:r>
    </w:p>
    <w:p>
      <w:pPr>
        <w:spacing w:line="360" w:lineRule="auto"/>
        <w:ind w:firstLine="590" w:firstLineChars="245"/>
        <w:rPr>
          <w:rFonts w:ascii="宋体" w:hAnsi="宋体"/>
          <w:b/>
          <w:color w:val="000000"/>
          <w:sz w:val="24"/>
        </w:rPr>
      </w:pPr>
      <w:r>
        <w:rPr>
          <w:rFonts w:hint="eastAsia" w:ascii="宋体" w:hAnsi="宋体"/>
          <w:b/>
          <w:sz w:val="24"/>
        </w:rPr>
        <w:t>2</w:t>
      </w:r>
      <w:r>
        <w:rPr>
          <w:rFonts w:ascii="宋体" w:hAnsi="宋体"/>
          <w:b/>
          <w:sz w:val="24"/>
        </w:rPr>
        <w:t>.</w:t>
      </w:r>
      <w:r>
        <w:rPr>
          <w:rFonts w:hint="eastAsia" w:ascii="宋体" w:hAnsi="宋体"/>
          <w:b/>
          <w:sz w:val="24"/>
        </w:rPr>
        <w:t xml:space="preserve">5 </w:t>
      </w:r>
      <w:r>
        <w:rPr>
          <w:rFonts w:ascii="宋体" w:hAnsi="宋体" w:eastAsia="宋体" w:cs="宋体"/>
          <w:b/>
          <w:sz w:val="24"/>
        </w:rPr>
        <w:t>供应商资格性审查文件（复印件均需加盖供应商公章）</w:t>
      </w:r>
    </w:p>
    <w:p>
      <w:pPr>
        <w:spacing w:line="360" w:lineRule="auto"/>
        <w:ind w:firstLine="480" w:firstLineChars="200"/>
        <w:rPr>
          <w:rFonts w:ascii="宋体" w:hAnsi="宋体"/>
          <w:sz w:val="24"/>
        </w:rPr>
      </w:pPr>
      <w:r>
        <w:rPr>
          <w:rFonts w:hint="eastAsia" w:ascii="宋体" w:hAnsi="宋体"/>
          <w:sz w:val="24"/>
        </w:rPr>
        <w:t>（1）营业执照副本复印件；</w:t>
      </w:r>
    </w:p>
    <w:p>
      <w:pPr>
        <w:spacing w:line="360" w:lineRule="auto"/>
        <w:ind w:firstLine="480" w:firstLineChars="200"/>
        <w:rPr>
          <w:rFonts w:ascii="宋体" w:hAnsi="宋体" w:eastAsia="宋体"/>
          <w:sz w:val="24"/>
        </w:rPr>
      </w:pPr>
      <w:r>
        <w:rPr>
          <w:rFonts w:hint="eastAsia" w:ascii="宋体" w:hAnsi="宋体"/>
          <w:sz w:val="24"/>
        </w:rPr>
        <w:t>（2）供应商投标授权书原件</w:t>
      </w:r>
      <w:r>
        <w:rPr>
          <w:rFonts w:ascii="宋体" w:hAnsi="宋体" w:eastAsia="宋体" w:cs="宋体"/>
          <w:sz w:val="24"/>
        </w:rPr>
        <w:t>（格式见附件</w:t>
      </w:r>
      <w:r>
        <w:rPr>
          <w:rFonts w:hint="eastAsia" w:ascii="宋体" w:hAnsi="宋体" w:eastAsia="宋体" w:cs="宋体"/>
          <w:sz w:val="24"/>
        </w:rPr>
        <w:t>5</w:t>
      </w:r>
      <w:r>
        <w:rPr>
          <w:rFonts w:ascii="宋体" w:hAnsi="宋体" w:eastAsia="宋体" w:cs="宋体"/>
          <w:sz w:val="24"/>
        </w:rPr>
        <w:t>）（法定代表人参与投标无须提供）</w:t>
      </w:r>
      <w:r>
        <w:rPr>
          <w:rFonts w:hint="eastAsia" w:ascii="宋体" w:hAnsi="宋体" w:eastAsia="宋体" w:cs="宋体"/>
          <w:sz w:val="24"/>
        </w:rPr>
        <w:t>；</w:t>
      </w:r>
    </w:p>
    <w:p>
      <w:pPr>
        <w:spacing w:line="360" w:lineRule="auto"/>
        <w:ind w:firstLine="480" w:firstLineChars="200"/>
        <w:rPr>
          <w:rFonts w:ascii="宋体" w:hAnsi="宋体" w:eastAsia="宋体" w:cs="宋体"/>
          <w:bCs/>
          <w:color w:val="FF0000"/>
          <w:sz w:val="24"/>
        </w:rPr>
      </w:pPr>
      <w:r>
        <w:rPr>
          <w:rFonts w:hint="eastAsia" w:ascii="宋体" w:hAnsi="宋体"/>
          <w:bCs/>
          <w:sz w:val="24"/>
        </w:rPr>
        <w:t>（3）</w:t>
      </w:r>
      <w:r>
        <w:rPr>
          <w:rFonts w:hint="eastAsia" w:ascii="宋体" w:hAnsi="宋体" w:eastAsia="宋体" w:cs="宋体"/>
          <w:bCs/>
          <w:sz w:val="24"/>
        </w:rPr>
        <w:t>非生产厂家投标，需提供生产厂家出具的销售代理授权书复印件或本项目的专项投标授权书（原版的专项投标授权证书无法及时到达，可以影印件代替，中标后补有效）；</w:t>
      </w:r>
    </w:p>
    <w:p>
      <w:pPr>
        <w:spacing w:line="360" w:lineRule="auto"/>
        <w:ind w:firstLine="590" w:firstLineChars="245"/>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 xml:space="preserve">6 </w:t>
      </w:r>
      <w:r>
        <w:rPr>
          <w:rFonts w:ascii="宋体" w:hAnsi="宋体" w:eastAsia="宋体" w:cs="宋体"/>
          <w:b/>
          <w:sz w:val="24"/>
        </w:rPr>
        <w:t>投标文件的的编制要求</w:t>
      </w:r>
    </w:p>
    <w:p>
      <w:pPr>
        <w:spacing w:line="360" w:lineRule="auto"/>
        <w:ind w:firstLine="480" w:firstLineChars="200"/>
        <w:rPr>
          <w:rFonts w:ascii="宋体" w:hAnsi="宋体"/>
          <w:sz w:val="24"/>
        </w:rPr>
      </w:pPr>
      <w:r>
        <w:rPr>
          <w:rFonts w:hint="eastAsia" w:ascii="宋体" w:hAnsi="宋体"/>
          <w:sz w:val="24"/>
        </w:rPr>
        <w:t>（1）供应商需提交投标文件正本1份、副本4份，并在投标文件的封面上明确标明投标文件正本和副本。若投标文件正本与副本有不同之处，以正本为准。</w:t>
      </w:r>
    </w:p>
    <w:p>
      <w:pPr>
        <w:spacing w:line="360" w:lineRule="auto"/>
        <w:ind w:firstLine="482" w:firstLineChars="200"/>
        <w:rPr>
          <w:rFonts w:ascii="宋体" w:hAnsi="宋体"/>
          <w:b/>
          <w:sz w:val="24"/>
        </w:rPr>
      </w:pPr>
      <w:r>
        <w:rPr>
          <w:rFonts w:hint="eastAsia" w:ascii="宋体" w:hAnsi="宋体"/>
          <w:b/>
          <w:sz w:val="24"/>
        </w:rPr>
        <w:t>（2）投标文件的正本与副本应分别按目录装订成册，不得采用活页夹，并且逐页标注连续页码，如供应商未按上述要求编制投标文件，将自行承担所产生的风险。</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）投标文件正本与副本均应使用</w:t>
      </w:r>
      <w:r>
        <w:rPr>
          <w:rFonts w:ascii="宋体" w:hAnsi="宋体"/>
          <w:sz w:val="24"/>
        </w:rPr>
        <w:t>A4</w:t>
      </w:r>
      <w:r>
        <w:rPr>
          <w:rFonts w:hint="eastAsia" w:ascii="宋体" w:hAnsi="宋体"/>
          <w:sz w:val="24"/>
        </w:rPr>
        <w:t>型纸打印，图表等可按同样规格的倍数扩展，且经被授权人签署。</w:t>
      </w:r>
    </w:p>
    <w:p>
      <w:pPr>
        <w:spacing w:line="360" w:lineRule="auto"/>
        <w:ind w:firstLine="480" w:firstLineChars="200"/>
        <w:rPr>
          <w:rFonts w:ascii="宋体" w:hAnsi="宋体"/>
          <w:sz w:val="24"/>
        </w:rPr>
      </w:pPr>
      <w:r>
        <w:rPr>
          <w:rFonts w:hint="eastAsia" w:ascii="宋体" w:hAnsi="宋体"/>
          <w:sz w:val="24"/>
        </w:rPr>
        <w:t>（4）投标文件不应有涂改、增删之处，但如有错误必须修改时，修改处必须由原被授权人签署。</w:t>
      </w:r>
    </w:p>
    <w:p>
      <w:pPr>
        <w:spacing w:line="360" w:lineRule="auto"/>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7</w:t>
      </w:r>
      <w:r>
        <w:rPr>
          <w:rFonts w:ascii="宋体" w:hAnsi="宋体"/>
          <w:b/>
          <w:sz w:val="24"/>
        </w:rPr>
        <w:t xml:space="preserve"> </w:t>
      </w:r>
      <w:r>
        <w:rPr>
          <w:rFonts w:hint="eastAsia" w:ascii="宋体" w:hAnsi="宋体"/>
          <w:b/>
          <w:sz w:val="24"/>
        </w:rPr>
        <w:t>投标文件的密封和标记</w:t>
      </w:r>
    </w:p>
    <w:p>
      <w:pPr>
        <w:spacing w:line="360" w:lineRule="auto"/>
        <w:ind w:firstLine="470" w:firstLineChars="196"/>
        <w:rPr>
          <w:rFonts w:ascii="宋体" w:hAnsi="宋体"/>
          <w:sz w:val="24"/>
        </w:rPr>
      </w:pPr>
      <w:r>
        <w:rPr>
          <w:rFonts w:hint="eastAsia" w:ascii="宋体" w:hAnsi="宋体"/>
          <w:sz w:val="24"/>
        </w:rPr>
        <w:t>投标文件应密封包装，并在封套的封口处加盖供应商单位章或由供应商的法定代表人或其授权的代理人签字。投标文件封套上需标明：</w:t>
      </w:r>
    </w:p>
    <w:p>
      <w:pPr>
        <w:spacing w:line="360" w:lineRule="auto"/>
        <w:ind w:firstLine="480" w:firstLineChars="200"/>
        <w:rPr>
          <w:rFonts w:ascii="宋体" w:hAnsi="宋体"/>
          <w:sz w:val="24"/>
        </w:rPr>
      </w:pPr>
      <w:r>
        <w:rPr>
          <w:rFonts w:hint="eastAsia" w:ascii="宋体" w:hAnsi="宋体"/>
          <w:sz w:val="24"/>
        </w:rPr>
        <w:t>（1）收    件    人：江南大学信息化建设管理处</w:t>
      </w:r>
    </w:p>
    <w:p>
      <w:pPr>
        <w:spacing w:line="360" w:lineRule="auto"/>
        <w:ind w:firstLine="480" w:firstLineChars="200"/>
        <w:rPr>
          <w:rFonts w:ascii="宋体" w:hAnsi="宋体"/>
          <w:sz w:val="24"/>
        </w:rPr>
      </w:pPr>
      <w:r>
        <w:rPr>
          <w:rFonts w:hint="eastAsia" w:ascii="宋体" w:hAnsi="宋体"/>
          <w:sz w:val="24"/>
        </w:rPr>
        <w:t>（2）信息化项目编号：</w:t>
      </w:r>
      <w:r>
        <w:rPr>
          <w:rFonts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（3）信息化项目名称：</w:t>
      </w:r>
      <w:r>
        <w:rPr>
          <w:rFonts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（4）供应商名称：</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u w:val="single"/>
        </w:rPr>
      </w:pPr>
      <w:r>
        <w:rPr>
          <w:rFonts w:hint="eastAsia" w:ascii="宋体" w:hAnsi="宋体"/>
          <w:sz w:val="24"/>
        </w:rPr>
        <w:t>（5）供应商地址：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sz w:val="24"/>
          <w:u w:val="single"/>
        </w:rPr>
      </w:pPr>
      <w:r>
        <w:rPr>
          <w:rFonts w:hint="eastAsia" w:ascii="宋体" w:hAnsi="宋体"/>
          <w:sz w:val="24"/>
        </w:rPr>
        <w:t>（6）联系电话：</w:t>
      </w:r>
      <w:r>
        <w:rPr>
          <w:rFonts w:ascii="宋体" w:hAnsi="宋体"/>
          <w:sz w:val="24"/>
          <w:u w:val="single"/>
        </w:rPr>
        <w:t xml:space="preserve">                (</w:t>
      </w:r>
      <w:r>
        <w:rPr>
          <w:rFonts w:hint="eastAsia" w:ascii="宋体" w:hAnsi="宋体"/>
          <w:sz w:val="24"/>
          <w:u w:val="single"/>
        </w:rPr>
        <w:t xml:space="preserve">手机）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ind w:firstLine="480" w:firstLineChars="200"/>
        <w:rPr>
          <w:rFonts w:ascii="宋体" w:hAnsi="宋体"/>
          <w:b/>
          <w:sz w:val="24"/>
        </w:rPr>
      </w:pPr>
      <w:r>
        <w:rPr>
          <w:rFonts w:hint="eastAsia" w:ascii="宋体" w:hAnsi="宋体"/>
          <w:sz w:val="24"/>
        </w:rPr>
        <w:t>（7）采购谈判之前不得启封</w:t>
      </w:r>
    </w:p>
    <w:p>
      <w:pPr>
        <w:spacing w:line="360" w:lineRule="auto"/>
        <w:ind w:firstLine="482" w:firstLineChars="200"/>
        <w:rPr>
          <w:rFonts w:ascii="宋体" w:hAnsi="宋体"/>
          <w:sz w:val="24"/>
        </w:rPr>
      </w:pPr>
      <w:r>
        <w:rPr>
          <w:rFonts w:hint="eastAsia" w:ascii="宋体" w:hAnsi="宋体"/>
          <w:b/>
          <w:sz w:val="24"/>
        </w:rPr>
        <w:t>2</w:t>
      </w:r>
      <w:r>
        <w:rPr>
          <w:rFonts w:ascii="宋体" w:hAnsi="宋体"/>
          <w:b/>
          <w:sz w:val="24"/>
        </w:rPr>
        <w:t>.</w:t>
      </w:r>
      <w:r>
        <w:rPr>
          <w:rFonts w:hint="eastAsia" w:ascii="宋体" w:hAnsi="宋体"/>
          <w:b/>
          <w:sz w:val="24"/>
        </w:rPr>
        <w:t>8 投标文件的递交</w:t>
      </w:r>
    </w:p>
    <w:p>
      <w:pPr>
        <w:spacing w:line="360" w:lineRule="auto"/>
        <w:ind w:firstLine="480" w:firstLineChars="200"/>
        <w:rPr>
          <w:rFonts w:ascii="宋体" w:hAnsi="宋体"/>
          <w:sz w:val="24"/>
        </w:rPr>
      </w:pPr>
      <w:bookmarkStart w:id="4" w:name="_Hlk70322431"/>
      <w:r>
        <w:rPr>
          <w:rFonts w:hint="eastAsia" w:ascii="宋体" w:hAnsi="宋体"/>
          <w:sz w:val="24"/>
        </w:rPr>
        <w:t>（1）供应商应仔细阅读招标文件的所有内容并作出实质性响应，同时按招标文件规定的要求和格式，提交完整的投标文件。</w:t>
      </w:r>
    </w:p>
    <w:p>
      <w:pPr>
        <w:spacing w:line="360" w:lineRule="auto"/>
        <w:ind w:firstLine="480" w:firstLineChars="200"/>
        <w:rPr>
          <w:rFonts w:ascii="宋体" w:hAnsi="宋体"/>
          <w:b/>
          <w:sz w:val="24"/>
        </w:rPr>
      </w:pPr>
      <w:r>
        <w:rPr>
          <w:rFonts w:hint="eastAsia" w:ascii="宋体" w:hAnsi="宋体"/>
          <w:bCs/>
          <w:sz w:val="24"/>
        </w:rPr>
        <w:t>（2）供应商须充分考虑投标文件等邮寄的时效性及时寄送（收件地址：江苏省无锡市滨湖区蠡湖大道1800号逸夫楼A201  收件人：江南大学信息化建设管理处辛老师，手机号：18762674356）。</w:t>
      </w:r>
      <w:r>
        <w:rPr>
          <w:rFonts w:hint="eastAsia" w:ascii="宋体" w:hAnsi="宋体"/>
          <w:b/>
          <w:sz w:val="24"/>
        </w:rPr>
        <w:t>如果采购人在投标截止时间前未收到取件信息，则视为投标文件</w:t>
      </w:r>
      <w:r>
        <w:rPr>
          <w:rFonts w:hint="eastAsia" w:ascii="宋体" w:hAnsi="宋体"/>
          <w:b/>
          <w:bCs/>
          <w:sz w:val="24"/>
        </w:rPr>
        <w:t>逾期</w:t>
      </w:r>
      <w:r>
        <w:rPr>
          <w:rFonts w:hint="eastAsia" w:ascii="宋体" w:hAnsi="宋体"/>
          <w:b/>
          <w:sz w:val="24"/>
        </w:rPr>
        <w:t>寄（送）达</w:t>
      </w:r>
      <w:r>
        <w:rPr>
          <w:rFonts w:hint="eastAsia" w:ascii="宋体" w:hAnsi="宋体"/>
          <w:b/>
          <w:bCs/>
          <w:sz w:val="24"/>
        </w:rPr>
        <w:t>或未</w:t>
      </w:r>
      <w:r>
        <w:rPr>
          <w:rFonts w:hint="eastAsia" w:ascii="宋体" w:hAnsi="宋体"/>
          <w:b/>
          <w:sz w:val="24"/>
        </w:rPr>
        <w:t>寄（送）</w:t>
      </w:r>
      <w:r>
        <w:rPr>
          <w:rFonts w:hint="eastAsia" w:ascii="宋体" w:hAnsi="宋体"/>
          <w:b/>
          <w:bCs/>
          <w:sz w:val="24"/>
        </w:rPr>
        <w:t>达，供应商自行承担责任</w:t>
      </w:r>
      <w:r>
        <w:rPr>
          <w:rFonts w:hint="eastAsia" w:ascii="宋体" w:hAnsi="宋体"/>
          <w:b/>
          <w:sz w:val="24"/>
        </w:rPr>
        <w:t>。</w:t>
      </w:r>
    </w:p>
    <w:p>
      <w:pPr>
        <w:spacing w:line="360" w:lineRule="auto"/>
        <w:ind w:firstLine="480" w:firstLineChars="200"/>
        <w:rPr>
          <w:rFonts w:ascii="宋体" w:hAnsi="宋体"/>
          <w:sz w:val="24"/>
        </w:rPr>
      </w:pPr>
      <w:r>
        <w:rPr>
          <w:rFonts w:hint="eastAsia" w:ascii="宋体" w:hAnsi="宋体"/>
          <w:sz w:val="24"/>
        </w:rPr>
        <w:t>（3）本项目不接受传真及电子邮件投标。</w:t>
      </w:r>
    </w:p>
    <w:bookmarkEnd w:id="4"/>
    <w:p>
      <w:pPr>
        <w:pStyle w:val="4"/>
        <w:numPr>
          <w:ilvl w:val="0"/>
          <w:numId w:val="4"/>
        </w:numPr>
        <w:spacing w:before="0" w:after="0" w:line="420" w:lineRule="auto"/>
        <w:rPr>
          <w:rFonts w:ascii="宋体" w:hAnsi="宋体"/>
        </w:rPr>
      </w:pPr>
      <w:r>
        <w:rPr>
          <w:rFonts w:hint="eastAsia" w:ascii="宋体" w:hAnsi="宋体"/>
        </w:rPr>
        <w:t>信息化项目校内分散采购谈判</w:t>
      </w:r>
    </w:p>
    <w:p>
      <w:pPr>
        <w:spacing w:line="360" w:lineRule="auto"/>
        <w:ind w:firstLine="482" w:firstLineChars="200"/>
        <w:rPr>
          <w:rFonts w:ascii="宋体" w:hAnsi="宋体"/>
          <w:bCs/>
          <w:sz w:val="24"/>
        </w:rPr>
      </w:pPr>
      <w:bookmarkStart w:id="5" w:name="_Hlk70322479"/>
      <w:r>
        <w:rPr>
          <w:rFonts w:hint="eastAsia" w:ascii="宋体" w:hAnsi="宋体"/>
          <w:b/>
          <w:sz w:val="24"/>
        </w:rPr>
        <w:t>3</w:t>
      </w:r>
      <w:r>
        <w:rPr>
          <w:rFonts w:ascii="宋体" w:hAnsi="宋体"/>
          <w:b/>
          <w:sz w:val="24"/>
        </w:rPr>
        <w:t>.1</w:t>
      </w:r>
      <w:r>
        <w:rPr>
          <w:rFonts w:hint="eastAsia" w:ascii="宋体" w:hAnsi="宋体"/>
          <w:b/>
          <w:sz w:val="24"/>
        </w:rPr>
        <w:t xml:space="preserve"> </w:t>
      </w:r>
      <w:r>
        <w:rPr>
          <w:rFonts w:hint="eastAsia" w:ascii="宋体" w:hAnsi="宋体"/>
          <w:bCs/>
          <w:sz w:val="24"/>
        </w:rPr>
        <w:t>采购人按规定的时间和地点参加校内分散采购谈判。</w:t>
      </w:r>
    </w:p>
    <w:p>
      <w:pPr>
        <w:spacing w:line="360" w:lineRule="auto"/>
        <w:ind w:firstLine="482" w:firstLineChars="200"/>
        <w:rPr>
          <w:rFonts w:ascii="宋体" w:hAnsi="宋体"/>
          <w:b/>
          <w:sz w:val="24"/>
        </w:rPr>
      </w:pPr>
      <w:r>
        <w:rPr>
          <w:rFonts w:hint="eastAsia" w:ascii="宋体" w:hAnsi="宋体"/>
          <w:b/>
          <w:sz w:val="24"/>
        </w:rPr>
        <w:t>3.2 采购谈判流程：</w:t>
      </w:r>
    </w:p>
    <w:p>
      <w:pPr>
        <w:numPr>
          <w:ilvl w:val="0"/>
          <w:numId w:val="5"/>
        </w:numPr>
        <w:spacing w:line="360" w:lineRule="auto"/>
        <w:rPr>
          <w:rFonts w:ascii="宋体" w:hAnsi="宋体"/>
          <w:b/>
          <w:sz w:val="24"/>
        </w:rPr>
      </w:pPr>
      <w:r>
        <w:rPr>
          <w:rFonts w:hint="eastAsia" w:ascii="宋体" w:hAnsi="宋体"/>
          <w:b/>
          <w:sz w:val="24"/>
        </w:rPr>
        <w:t>投标人依次进行采购谈判；</w:t>
      </w:r>
    </w:p>
    <w:p>
      <w:pPr>
        <w:numPr>
          <w:ilvl w:val="0"/>
          <w:numId w:val="5"/>
        </w:numPr>
        <w:spacing w:line="360" w:lineRule="auto"/>
        <w:rPr>
          <w:rFonts w:ascii="宋体" w:hAnsi="宋体"/>
          <w:b/>
          <w:sz w:val="24"/>
        </w:rPr>
      </w:pPr>
      <w:r>
        <w:rPr>
          <w:rFonts w:hint="eastAsia" w:ascii="宋体" w:hAnsi="宋体"/>
          <w:b/>
          <w:sz w:val="24"/>
        </w:rPr>
        <w:t>投标人简述项目方案（约5-10分钟）；</w:t>
      </w:r>
    </w:p>
    <w:p>
      <w:pPr>
        <w:numPr>
          <w:ilvl w:val="0"/>
          <w:numId w:val="5"/>
        </w:numPr>
        <w:spacing w:line="360" w:lineRule="auto"/>
        <w:rPr>
          <w:rFonts w:ascii="宋体" w:hAnsi="宋体"/>
          <w:b/>
          <w:sz w:val="24"/>
        </w:rPr>
      </w:pPr>
      <w:r>
        <w:rPr>
          <w:rFonts w:hint="eastAsia" w:ascii="宋体" w:hAnsi="宋体"/>
          <w:b/>
          <w:sz w:val="24"/>
        </w:rPr>
        <w:t>采购人询问采购项目相关问题；</w:t>
      </w:r>
    </w:p>
    <w:p>
      <w:pPr>
        <w:numPr>
          <w:ilvl w:val="0"/>
          <w:numId w:val="5"/>
        </w:numPr>
        <w:spacing w:line="360" w:lineRule="auto"/>
        <w:rPr>
          <w:rFonts w:ascii="宋体" w:hAnsi="宋体"/>
          <w:b/>
          <w:sz w:val="24"/>
        </w:rPr>
      </w:pPr>
      <w:r>
        <w:rPr>
          <w:rFonts w:hint="eastAsia" w:ascii="宋体" w:hAnsi="宋体"/>
          <w:b/>
          <w:sz w:val="24"/>
        </w:rPr>
        <w:t>投标人现场填写“信息化项目校内分散采购承诺书（附件6）”进行二次报价及其它承诺（二次报价即为最终报价）；</w:t>
      </w:r>
    </w:p>
    <w:p>
      <w:pPr>
        <w:numPr>
          <w:ilvl w:val="0"/>
          <w:numId w:val="5"/>
        </w:numPr>
        <w:spacing w:line="360" w:lineRule="auto"/>
        <w:rPr>
          <w:rFonts w:ascii="宋体" w:hAnsi="宋体"/>
          <w:b/>
          <w:sz w:val="24"/>
        </w:rPr>
      </w:pPr>
      <w:r>
        <w:rPr>
          <w:rFonts w:hint="eastAsia" w:ascii="宋体" w:hAnsi="宋体"/>
          <w:b/>
          <w:sz w:val="24"/>
        </w:rPr>
        <w:t>信息化项目校内分散采购谈判评审小组综合评审确认供应商；</w:t>
      </w:r>
    </w:p>
    <w:p>
      <w:pPr>
        <w:numPr>
          <w:ilvl w:val="0"/>
          <w:numId w:val="5"/>
        </w:numPr>
        <w:spacing w:line="360" w:lineRule="auto"/>
        <w:rPr>
          <w:rFonts w:ascii="宋体" w:hAnsi="宋体"/>
          <w:b/>
          <w:sz w:val="24"/>
        </w:rPr>
      </w:pPr>
      <w:r>
        <w:rPr>
          <w:rFonts w:hint="eastAsia" w:ascii="宋体" w:hAnsi="宋体"/>
          <w:b/>
          <w:sz w:val="24"/>
        </w:rPr>
        <w:t>信息化项目采购谈判结果需在当日发布。</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3.3 </w:t>
      </w:r>
      <w:r>
        <w:rPr>
          <w:rFonts w:ascii="宋体" w:hAnsi="宋体" w:eastAsia="宋体" w:cs="宋体"/>
          <w:b/>
          <w:bCs/>
          <w:sz w:val="24"/>
        </w:rPr>
        <w:t>评审</w:t>
      </w:r>
      <w:r>
        <w:rPr>
          <w:rFonts w:hint="eastAsia" w:ascii="宋体" w:hAnsi="宋体" w:eastAsia="宋体" w:cs="宋体"/>
          <w:b/>
          <w:bCs/>
          <w:sz w:val="24"/>
        </w:rPr>
        <w:t>及确定供应商的</w:t>
      </w:r>
      <w:r>
        <w:rPr>
          <w:rFonts w:ascii="宋体" w:hAnsi="宋体" w:eastAsia="宋体" w:cs="宋体"/>
          <w:b/>
          <w:bCs/>
          <w:sz w:val="24"/>
        </w:rPr>
        <w:t xml:space="preserve">方法 </w:t>
      </w:r>
    </w:p>
    <w:p>
      <w:pPr>
        <w:spacing w:line="360" w:lineRule="auto"/>
        <w:ind w:firstLine="480" w:firstLineChars="200"/>
        <w:rPr>
          <w:rFonts w:ascii="宋体" w:hAnsi="宋体"/>
          <w:b/>
          <w:sz w:val="24"/>
        </w:rPr>
      </w:pPr>
      <w:r>
        <w:rPr>
          <w:rFonts w:hint="eastAsia" w:ascii="宋体" w:hAnsi="宋体"/>
          <w:bCs/>
          <w:sz w:val="24"/>
        </w:rPr>
        <w:t>以方案合理、</w:t>
      </w:r>
      <w:r>
        <w:rPr>
          <w:rFonts w:hint="eastAsia" w:ascii="宋体" w:hAnsi="宋体"/>
          <w:bCs/>
          <w:sz w:val="24"/>
          <w:lang w:val="en-US" w:eastAsia="zh-CN"/>
        </w:rPr>
        <w:t>系统功能演示</w:t>
      </w:r>
      <w:r>
        <w:rPr>
          <w:rFonts w:hint="eastAsia" w:ascii="宋体" w:hAnsi="宋体"/>
          <w:bCs/>
          <w:sz w:val="24"/>
        </w:rPr>
        <w:t>满足用户业务及技术要求且价格合理为前提，择优确定供应商（均满足采购需求的情况下、以价格最低的为中标供货商）。如报名供应商均不满足资格条件，则视为采购谈判失败，应重新组织采购谈判。</w:t>
      </w:r>
    </w:p>
    <w:p>
      <w:pPr>
        <w:spacing w:line="360" w:lineRule="auto"/>
        <w:ind w:firstLine="482" w:firstLineChars="200"/>
        <w:rPr>
          <w:rFonts w:ascii="宋体" w:hAnsi="宋体" w:eastAsia="宋体" w:cs="宋体"/>
          <w:b/>
          <w:sz w:val="24"/>
        </w:rPr>
      </w:pPr>
      <w:r>
        <w:rPr>
          <w:rFonts w:hint="eastAsia" w:ascii="宋体" w:hAnsi="宋体"/>
          <w:b/>
          <w:sz w:val="24"/>
        </w:rPr>
        <w:t xml:space="preserve">3.4 </w:t>
      </w:r>
      <w:r>
        <w:rPr>
          <w:rFonts w:ascii="宋体" w:hAnsi="宋体" w:eastAsia="宋体" w:cs="宋体"/>
          <w:b/>
          <w:sz w:val="24"/>
        </w:rPr>
        <w:t>供应商存在下列情况之一的，按无效响应处理：</w:t>
      </w:r>
    </w:p>
    <w:p>
      <w:pPr>
        <w:spacing w:line="360" w:lineRule="auto"/>
        <w:ind w:firstLine="480" w:firstLineChars="200"/>
        <w:rPr>
          <w:rFonts w:ascii="宋体" w:hAnsi="宋体" w:eastAsia="宋体" w:cs="宋体"/>
          <w:sz w:val="24"/>
        </w:rPr>
      </w:pPr>
      <w:r>
        <w:rPr>
          <w:rFonts w:ascii="宋体" w:hAnsi="宋体" w:eastAsia="宋体" w:cs="宋体"/>
          <w:sz w:val="24"/>
        </w:rPr>
        <w:t>(1) 投标函或资格性审查文件未按招标文件规定和要求签字、盖章的；</w:t>
      </w:r>
    </w:p>
    <w:p>
      <w:pPr>
        <w:spacing w:line="360" w:lineRule="auto"/>
        <w:ind w:firstLine="480" w:firstLineChars="200"/>
        <w:rPr>
          <w:rFonts w:ascii="宋体" w:hAnsi="宋体" w:eastAsia="宋体" w:cs="宋体"/>
          <w:sz w:val="24"/>
        </w:rPr>
      </w:pPr>
      <w:r>
        <w:rPr>
          <w:rFonts w:ascii="宋体" w:hAnsi="宋体" w:eastAsia="宋体" w:cs="宋体"/>
          <w:sz w:val="24"/>
        </w:rPr>
        <w:t xml:space="preserve">(2) 不具备本次招标项目规定的资格要求的； </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3</w:t>
      </w:r>
      <w:r>
        <w:rPr>
          <w:rFonts w:ascii="宋体" w:hAnsi="宋体" w:eastAsia="宋体" w:cs="宋体"/>
          <w:sz w:val="24"/>
        </w:rPr>
        <w:t>) 投标文件</w:t>
      </w:r>
      <w:r>
        <w:rPr>
          <w:rFonts w:hint="eastAsia" w:ascii="宋体" w:hAnsi="宋体" w:eastAsia="宋体" w:cs="宋体"/>
          <w:sz w:val="24"/>
        </w:rPr>
        <w:t>未在投标截止时间送达</w:t>
      </w:r>
      <w:r>
        <w:rPr>
          <w:rFonts w:ascii="宋体" w:hAnsi="宋体" w:eastAsia="宋体" w:cs="宋体"/>
          <w:sz w:val="24"/>
        </w:rPr>
        <w:t>的</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4</w:t>
      </w:r>
      <w:r>
        <w:rPr>
          <w:rFonts w:ascii="宋体" w:hAnsi="宋体" w:eastAsia="宋体" w:cs="宋体"/>
          <w:sz w:val="24"/>
        </w:rPr>
        <w:t xml:space="preserve">) </w:t>
      </w:r>
      <w:r>
        <w:rPr>
          <w:rFonts w:hint="eastAsia" w:ascii="宋体" w:hAnsi="宋体" w:eastAsia="宋体" w:cs="宋体"/>
          <w:sz w:val="24"/>
        </w:rPr>
        <w:t>最终</w:t>
      </w:r>
      <w:r>
        <w:rPr>
          <w:rFonts w:ascii="宋体" w:hAnsi="宋体" w:eastAsia="宋体" w:cs="宋体"/>
          <w:sz w:val="24"/>
        </w:rPr>
        <w:t>报价超过</w:t>
      </w:r>
      <w:r>
        <w:rPr>
          <w:rFonts w:hint="eastAsia" w:ascii="宋体" w:hAnsi="宋体" w:eastAsia="宋体" w:cs="宋体"/>
          <w:sz w:val="24"/>
        </w:rPr>
        <w:t>信息化项目限价</w:t>
      </w:r>
      <w:r>
        <w:rPr>
          <w:rFonts w:ascii="宋体" w:hAnsi="宋体" w:eastAsia="宋体" w:cs="宋体"/>
          <w:sz w:val="24"/>
        </w:rPr>
        <w:t xml:space="preserve">的； </w:t>
      </w:r>
    </w:p>
    <w:p>
      <w:pPr>
        <w:spacing w:line="360" w:lineRule="auto"/>
        <w:ind w:firstLine="480" w:firstLineChars="200"/>
        <w:rPr>
          <w:rFonts w:ascii="宋体" w:hAnsi="宋体" w:eastAsia="宋体" w:cs="宋体"/>
          <w:sz w:val="24"/>
        </w:rPr>
      </w:pPr>
      <w:r>
        <w:rPr>
          <w:rFonts w:ascii="宋体" w:hAnsi="宋体" w:eastAsia="宋体" w:cs="宋体"/>
          <w:sz w:val="24"/>
        </w:rPr>
        <w:t>(</w:t>
      </w:r>
      <w:r>
        <w:rPr>
          <w:rFonts w:hint="eastAsia" w:ascii="宋体" w:hAnsi="宋体" w:eastAsia="宋体" w:cs="宋体"/>
          <w:sz w:val="24"/>
        </w:rPr>
        <w:t>5</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 xml:space="preserve">核心参数不满足招标要求的； </w:t>
      </w:r>
    </w:p>
    <w:p>
      <w:pPr>
        <w:spacing w:line="360" w:lineRule="auto"/>
        <w:ind w:firstLine="480" w:firstLineChars="200"/>
        <w:rPr>
          <w:rFonts w:ascii="宋体" w:hAnsi="宋体" w:cs="宋体"/>
          <w:sz w:val="24"/>
        </w:rPr>
      </w:pPr>
      <w:r>
        <w:rPr>
          <w:rFonts w:ascii="宋体" w:hAnsi="宋体" w:eastAsia="宋体" w:cs="宋体"/>
          <w:sz w:val="24"/>
        </w:rPr>
        <w:t>(</w:t>
      </w:r>
      <w:r>
        <w:rPr>
          <w:rFonts w:hint="eastAsia" w:ascii="宋体" w:hAnsi="宋体" w:eastAsia="宋体" w:cs="宋体"/>
          <w:sz w:val="24"/>
        </w:rPr>
        <w:t>6</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 xml:space="preserve">重要内容或关键字迹模糊不清无法辨认的； </w:t>
      </w:r>
    </w:p>
    <w:p>
      <w:pPr>
        <w:spacing w:line="360" w:lineRule="auto"/>
        <w:ind w:firstLine="480" w:firstLineChars="200"/>
        <w:rPr>
          <w:rFonts w:ascii="宋体" w:hAnsi="宋体" w:cs="宋体"/>
          <w:sz w:val="24"/>
        </w:rPr>
      </w:pPr>
      <w:r>
        <w:rPr>
          <w:rFonts w:ascii="宋体" w:hAnsi="宋体" w:eastAsia="宋体" w:cs="宋体"/>
          <w:sz w:val="24"/>
        </w:rPr>
        <w:t>(</w:t>
      </w:r>
      <w:r>
        <w:rPr>
          <w:rFonts w:hint="eastAsia" w:ascii="宋体" w:hAnsi="宋体" w:eastAsia="宋体" w:cs="宋体"/>
          <w:sz w:val="24"/>
        </w:rPr>
        <w:t>7</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投标文件含有采购人不能接受的附加条件的；</w:t>
      </w:r>
    </w:p>
    <w:p>
      <w:pPr>
        <w:spacing w:line="360" w:lineRule="auto"/>
        <w:ind w:firstLine="480" w:firstLineChars="200"/>
        <w:rPr>
          <w:rFonts w:ascii="宋体" w:hAnsi="宋体" w:cs="宋体"/>
          <w:sz w:val="24"/>
        </w:rPr>
      </w:pPr>
      <w:r>
        <w:rPr>
          <w:rFonts w:ascii="宋体" w:hAnsi="宋体" w:eastAsia="宋体" w:cs="宋体"/>
          <w:sz w:val="24"/>
        </w:rPr>
        <w:t>(</w:t>
      </w:r>
      <w:r>
        <w:rPr>
          <w:rFonts w:hint="eastAsia" w:ascii="宋体" w:hAnsi="宋体" w:eastAsia="宋体" w:cs="宋体"/>
          <w:sz w:val="24"/>
        </w:rPr>
        <w:t>8</w:t>
      </w:r>
      <w:r>
        <w:rPr>
          <w:rFonts w:ascii="宋体" w:hAnsi="宋体" w:eastAsia="宋体" w:cs="宋体"/>
          <w:sz w:val="24"/>
        </w:rPr>
        <w:t>)</w:t>
      </w:r>
      <w:r>
        <w:rPr>
          <w:rFonts w:hint="eastAsia" w:ascii="宋体" w:hAnsi="宋体" w:eastAsia="宋体" w:cs="宋体"/>
          <w:sz w:val="24"/>
        </w:rPr>
        <w:t xml:space="preserve"> </w:t>
      </w:r>
      <w:r>
        <w:rPr>
          <w:rFonts w:ascii="宋体" w:hAnsi="宋体" w:eastAsia="宋体" w:cs="宋体"/>
          <w:sz w:val="24"/>
        </w:rPr>
        <w:t>法律、法规和招标文件规定的其他无效情形。</w:t>
      </w:r>
    </w:p>
    <w:p>
      <w:pPr>
        <w:spacing w:line="360" w:lineRule="auto"/>
        <w:ind w:left="630"/>
        <w:rPr>
          <w:rFonts w:ascii="宋体" w:hAnsi="宋体"/>
          <w:b/>
          <w:sz w:val="24"/>
        </w:rPr>
      </w:pPr>
      <w:r>
        <w:rPr>
          <w:rFonts w:ascii="宋体" w:hAnsi="宋体" w:eastAsia="宋体" w:cs="宋体"/>
          <w:sz w:val="24"/>
        </w:rPr>
        <w:t>对无效响应的供应商，采购人应当告知其无效响应的原因</w:t>
      </w:r>
      <w:r>
        <w:rPr>
          <w:rFonts w:hint="eastAsia" w:ascii="宋体" w:hAnsi="宋体" w:eastAsia="宋体" w:cs="宋体"/>
          <w:sz w:val="24"/>
        </w:rPr>
        <w:t>。</w:t>
      </w:r>
      <w:r>
        <w:rPr>
          <w:rFonts w:hint="eastAsia" w:ascii="宋体" w:hAnsi="宋体"/>
          <w:b/>
          <w:sz w:val="24"/>
        </w:rPr>
        <w:t xml:space="preserve">        </w:t>
      </w:r>
    </w:p>
    <w:bookmarkEnd w:id="5"/>
    <w:p>
      <w:pPr>
        <w:pStyle w:val="4"/>
        <w:numPr>
          <w:ilvl w:val="0"/>
          <w:numId w:val="4"/>
        </w:numPr>
        <w:spacing w:before="0" w:after="0" w:line="420" w:lineRule="auto"/>
        <w:rPr>
          <w:rFonts w:ascii="宋体" w:hAnsi="宋体"/>
        </w:rPr>
      </w:pPr>
      <w:bookmarkStart w:id="6" w:name="_Toc5570"/>
      <w:bookmarkStart w:id="7" w:name="_Toc15601"/>
      <w:r>
        <w:rPr>
          <w:rFonts w:hint="eastAsia" w:ascii="宋体" w:hAnsi="宋体"/>
        </w:rPr>
        <w:t>中标通知书及合同的签订</w:t>
      </w:r>
      <w:bookmarkEnd w:id="6"/>
      <w:bookmarkEnd w:id="7"/>
    </w:p>
    <w:p>
      <w:pPr>
        <w:spacing w:line="360" w:lineRule="auto"/>
        <w:ind w:right="-4" w:rightChars="-2" w:firstLine="475" w:firstLineChars="197"/>
        <w:rPr>
          <w:rFonts w:ascii="宋体" w:hAnsi="宋体" w:cs="宋体"/>
          <w:kern w:val="0"/>
          <w:sz w:val="24"/>
        </w:rPr>
      </w:pPr>
      <w:r>
        <w:rPr>
          <w:rFonts w:hint="eastAsia" w:ascii="宋体" w:hAnsi="宋体" w:cs="宋体"/>
          <w:b/>
          <w:sz w:val="24"/>
        </w:rPr>
        <w:t xml:space="preserve">4.1 </w:t>
      </w:r>
      <w:r>
        <w:rPr>
          <w:rFonts w:hint="eastAsia" w:ascii="宋体" w:hAnsi="宋体" w:cs="宋体"/>
          <w:kern w:val="0"/>
          <w:sz w:val="24"/>
        </w:rPr>
        <w:t>中标人确定后，采购人将通过信息化建设管理处网站发布信息化项目校内分散采购结果公示2天，公示期满无异议，即向中标人发出信息化项目校内分散采购中标通知书。</w:t>
      </w:r>
    </w:p>
    <w:p>
      <w:pPr>
        <w:spacing w:line="360" w:lineRule="auto"/>
        <w:ind w:firstLine="482" w:firstLineChars="200"/>
        <w:rPr>
          <w:rFonts w:ascii="宋体" w:hAnsi="宋体" w:cs="宋体"/>
          <w:kern w:val="0"/>
          <w:sz w:val="24"/>
        </w:rPr>
      </w:pPr>
      <w:r>
        <w:rPr>
          <w:rFonts w:hint="eastAsia" w:ascii="宋体" w:hAnsi="宋体" w:cs="宋体"/>
          <w:b/>
          <w:sz w:val="24"/>
        </w:rPr>
        <w:t xml:space="preserve">4.2 </w:t>
      </w:r>
      <w:r>
        <w:rPr>
          <w:rFonts w:hint="eastAsia" w:ascii="宋体" w:hAnsi="宋体" w:cs="宋体"/>
          <w:kern w:val="0"/>
          <w:sz w:val="24"/>
        </w:rPr>
        <w:t>中标人收到中标通知书后，应在30日内与采购人签订</w:t>
      </w:r>
      <w:r>
        <w:rPr>
          <w:rFonts w:hint="eastAsia" w:ascii="宋体" w:hAnsi="宋体" w:cs="宋体"/>
          <w:sz w:val="24"/>
        </w:rPr>
        <w:t>合同，</w:t>
      </w:r>
      <w:r>
        <w:rPr>
          <w:rFonts w:hint="eastAsia" w:ascii="宋体" w:hAnsi="宋体" w:cs="宋体"/>
          <w:kern w:val="0"/>
          <w:sz w:val="24"/>
        </w:rPr>
        <w:t>过期视为放弃中标。</w:t>
      </w:r>
    </w:p>
    <w:p>
      <w:pPr>
        <w:spacing w:line="360" w:lineRule="auto"/>
        <w:ind w:firstLine="482" w:firstLineChars="200"/>
        <w:rPr>
          <w:rFonts w:ascii="宋体" w:hAnsi="宋体" w:cs="宋体"/>
          <w:b/>
          <w:sz w:val="24"/>
        </w:rPr>
      </w:pPr>
      <w:r>
        <w:rPr>
          <w:rFonts w:hint="eastAsia" w:ascii="宋体" w:hAnsi="宋体" w:cs="宋体"/>
          <w:b/>
          <w:sz w:val="24"/>
        </w:rPr>
        <w:t xml:space="preserve">4.3. </w:t>
      </w:r>
      <w:r>
        <w:rPr>
          <w:rFonts w:hint="eastAsia" w:ascii="宋体" w:hAnsi="宋体" w:cs="宋体"/>
          <w:kern w:val="0"/>
          <w:sz w:val="24"/>
        </w:rPr>
        <w:t>本招标文件和中标人的投标文件包括中标人所作出的各种书面承诺将作为采购人与中标人双方签订合同的依据，并作为合同的附件与合同具有同等法律效力。</w:t>
      </w:r>
    </w:p>
    <w:p>
      <w:pPr>
        <w:spacing w:line="360" w:lineRule="auto"/>
        <w:ind w:firstLine="482" w:firstLineChars="200"/>
        <w:rPr>
          <w:rFonts w:ascii="宋体" w:hAnsi="宋体" w:cs="宋体"/>
          <w:sz w:val="24"/>
        </w:rPr>
      </w:pPr>
      <w:r>
        <w:rPr>
          <w:rFonts w:hint="eastAsia" w:ascii="宋体" w:hAnsi="宋体" w:cs="宋体"/>
          <w:b/>
          <w:sz w:val="24"/>
        </w:rPr>
        <w:t xml:space="preserve">4.4 </w:t>
      </w:r>
      <w:r>
        <w:rPr>
          <w:rFonts w:hint="eastAsia" w:ascii="宋体" w:hAnsi="宋体" w:cs="宋体"/>
          <w:sz w:val="24"/>
        </w:rPr>
        <w:t>如投标人中标后悔标，采购人将取消该投标人本次中标资格及今后两年内的投标资格。</w:t>
      </w:r>
    </w:p>
    <w:p>
      <w:pPr>
        <w:spacing w:line="360" w:lineRule="auto"/>
        <w:ind w:firstLine="482" w:firstLineChars="200"/>
        <w:rPr>
          <w:rFonts w:ascii="宋体" w:hAnsi="宋体" w:cs="宋体"/>
          <w:sz w:val="24"/>
        </w:rPr>
      </w:pPr>
      <w:r>
        <w:rPr>
          <w:rFonts w:hint="eastAsia" w:ascii="宋体" w:hAnsi="宋体" w:cs="宋体"/>
          <w:b/>
          <w:sz w:val="24"/>
        </w:rPr>
        <w:t xml:space="preserve">4.5 </w:t>
      </w:r>
      <w:r>
        <w:rPr>
          <w:rFonts w:hint="eastAsia" w:ascii="宋体" w:hAnsi="宋体" w:eastAsia="宋体" w:cs="宋体"/>
          <w:sz w:val="24"/>
        </w:rPr>
        <w:t>采购</w:t>
      </w:r>
      <w:r>
        <w:rPr>
          <w:rFonts w:ascii="宋体" w:hAnsi="宋体" w:eastAsia="宋体" w:cs="宋体"/>
          <w:sz w:val="24"/>
        </w:rPr>
        <w:t>文件、中标人的投标文件、《中标通知书》及其澄清、说明文件、承诺书等，均为签订采购合同的依据，作为采购合同的组成部分。</w:t>
      </w:r>
    </w:p>
    <w:p>
      <w:pPr>
        <w:pStyle w:val="4"/>
        <w:numPr>
          <w:ilvl w:val="0"/>
          <w:numId w:val="4"/>
        </w:numPr>
        <w:spacing w:before="0" w:after="0" w:line="420" w:lineRule="auto"/>
        <w:rPr>
          <w:rFonts w:ascii="宋体" w:hAnsi="宋体"/>
        </w:rPr>
      </w:pPr>
      <w:bookmarkStart w:id="8" w:name="_Toc20318"/>
      <w:bookmarkStart w:id="9" w:name="_Toc7072"/>
      <w:r>
        <w:rPr>
          <w:rFonts w:hint="eastAsia" w:ascii="宋体" w:hAnsi="宋体"/>
        </w:rPr>
        <w:t>其他</w:t>
      </w:r>
      <w:bookmarkEnd w:id="8"/>
      <w:bookmarkEnd w:id="9"/>
    </w:p>
    <w:p>
      <w:pPr>
        <w:spacing w:line="360" w:lineRule="auto"/>
        <w:ind w:firstLine="482" w:firstLineChars="200"/>
        <w:rPr>
          <w:rFonts w:ascii="宋体" w:hAnsi="宋体" w:cs="宋体"/>
          <w:b/>
          <w:sz w:val="24"/>
        </w:rPr>
      </w:pPr>
      <w:r>
        <w:rPr>
          <w:rFonts w:hint="eastAsia" w:ascii="宋体" w:hAnsi="宋体" w:cs="宋体"/>
          <w:b/>
          <w:sz w:val="24"/>
        </w:rPr>
        <w:t xml:space="preserve">5.1 </w:t>
      </w:r>
      <w:r>
        <w:rPr>
          <w:rFonts w:hint="eastAsia" w:ascii="宋体" w:hAnsi="宋体" w:cs="宋体"/>
          <w:bCs/>
          <w:sz w:val="24"/>
        </w:rPr>
        <w:t>本次信息化项目校内采购不收投标保证金</w:t>
      </w:r>
      <w:r>
        <w:rPr>
          <w:rFonts w:hint="eastAsia" w:ascii="宋体" w:hAnsi="宋体" w:cs="宋体"/>
          <w:b/>
          <w:sz w:val="24"/>
        </w:rPr>
        <w:t>。</w:t>
      </w:r>
    </w:p>
    <w:p>
      <w:pPr>
        <w:spacing w:line="360" w:lineRule="auto"/>
        <w:ind w:firstLine="482" w:firstLineChars="200"/>
        <w:rPr>
          <w:rFonts w:ascii="宋体" w:hAnsi="宋体" w:cs="宋体"/>
          <w:b/>
          <w:sz w:val="24"/>
        </w:rPr>
      </w:pPr>
      <w:r>
        <w:rPr>
          <w:rFonts w:hint="eastAsia" w:ascii="宋体" w:hAnsi="宋体" w:cs="宋体"/>
          <w:b/>
          <w:sz w:val="24"/>
        </w:rPr>
        <w:t xml:space="preserve">5.2 </w:t>
      </w:r>
      <w:r>
        <w:rPr>
          <w:rFonts w:hint="eastAsia" w:ascii="宋体" w:hAnsi="宋体" w:cs="宋体"/>
          <w:bCs/>
          <w:sz w:val="24"/>
        </w:rPr>
        <w:t>本次信息化项目校内采购不收中标服务费</w:t>
      </w:r>
      <w:r>
        <w:rPr>
          <w:rFonts w:hint="eastAsia" w:ascii="宋体" w:hAnsi="宋体" w:cs="宋体"/>
          <w:b/>
          <w:sz w:val="24"/>
        </w:rPr>
        <w:t>。</w:t>
      </w:r>
    </w:p>
    <w:p>
      <w:pPr>
        <w:spacing w:line="360" w:lineRule="auto"/>
        <w:ind w:firstLine="482" w:firstLineChars="200"/>
        <w:rPr>
          <w:rFonts w:ascii="宋体" w:hAnsi="宋体" w:cs="宋体"/>
        </w:rPr>
      </w:pPr>
      <w:r>
        <w:rPr>
          <w:rFonts w:hint="eastAsia" w:ascii="宋体" w:hAnsi="宋体" w:cs="宋体"/>
          <w:b/>
          <w:sz w:val="24"/>
        </w:rPr>
        <w:t xml:space="preserve">5.3 </w:t>
      </w:r>
      <w:r>
        <w:rPr>
          <w:rFonts w:hint="eastAsia" w:ascii="宋体" w:hAnsi="宋体" w:cs="宋体"/>
          <w:bCs/>
          <w:sz w:val="24"/>
        </w:rPr>
        <w:t>投标人无论中标与否，采购人不承担投标人参加投标的任何费用</w:t>
      </w:r>
      <w:r>
        <w:rPr>
          <w:rFonts w:hint="eastAsia" w:ascii="宋体" w:hAnsi="宋体" w:cs="宋体"/>
          <w:b/>
          <w:sz w:val="24"/>
        </w:rPr>
        <w:t>。</w:t>
      </w:r>
    </w:p>
    <w:p>
      <w:pPr>
        <w:spacing w:line="360" w:lineRule="auto"/>
        <w:rPr>
          <w:rFonts w:asciiTheme="minorEastAsia" w:hAnsiTheme="minorEastAsia" w:cstheme="minorEastAsia"/>
          <w:sz w:val="24"/>
        </w:rPr>
      </w:pPr>
    </w:p>
    <w:p>
      <w:pPr>
        <w:pStyle w:val="3"/>
        <w:spacing w:line="360" w:lineRule="auto"/>
        <w:jc w:val="center"/>
        <w:rPr>
          <w:rFonts w:ascii="宋体" w:hAnsi="宋体"/>
          <w:spacing w:val="4"/>
        </w:rPr>
      </w:pPr>
      <w:r>
        <w:rPr>
          <w:rFonts w:hint="eastAsia"/>
        </w:rPr>
        <w:t>第三部分 葡萄酒工厂设计及生产3D虚拟仿真实验开发</w:t>
      </w:r>
      <w:r>
        <w:rPr>
          <w:rFonts w:hint="eastAsia" w:ascii="宋体" w:hAnsi="宋体"/>
          <w:spacing w:val="4"/>
        </w:rPr>
        <w:t>校内分散采购需求</w:t>
      </w:r>
    </w:p>
    <w:p>
      <w:pPr>
        <w:rPr>
          <w:rFonts w:ascii="宋体" w:hAnsi="宋体"/>
          <w:b/>
          <w:bCs/>
          <w:spacing w:val="4"/>
          <w:sz w:val="28"/>
          <w:szCs w:val="28"/>
        </w:rPr>
      </w:pPr>
      <w:r>
        <w:rPr>
          <w:rFonts w:hint="eastAsia" w:ascii="宋体" w:hAnsi="宋体"/>
          <w:b/>
          <w:bCs/>
          <w:spacing w:val="4"/>
          <w:sz w:val="28"/>
          <w:szCs w:val="28"/>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stheme="minorBidi"/>
          <w:kern w:val="2"/>
          <w:sz w:val="24"/>
          <w:szCs w:val="24"/>
          <w:lang w:val="en-US" w:eastAsia="zh-CN" w:bidi="ar-SA"/>
        </w:rPr>
      </w:pPr>
      <w:r>
        <w:rPr>
          <w:rFonts w:hint="eastAsia" w:cstheme="minorBidi"/>
          <w:kern w:val="2"/>
          <w:sz w:val="24"/>
          <w:szCs w:val="24"/>
          <w:lang w:val="en-US" w:eastAsia="zh-CN" w:bidi="ar-SA"/>
        </w:rPr>
        <w:t>本项目为葡萄酒生产工艺3D虚拟仿真软件的开发。本项目结合专业课本并依据葡萄酒生产工厂实际布局搭建模型，主要搭建了干红葡萄酒、干白葡萄酒两条工艺路线，并按实际实习过程完成交互，完整再现了葡萄酒酿造前处理、葡萄酒发酵、葡萄酒冷冻、葡萄酒陈酿、葡萄酒灌装等操作过程。软件分为3D仿真工厂操作界面和智能评分系统两个界面，在模块操作中穿插有车间布局认知和设备认知知识点，模块和知识点互相配合，通过车间布局和设备认知让学生对实际的葡萄酒生产车间有大致的了解，帮助学生学习生产车间布局和主要设备的工作原理；本软件模仿葡萄酒生产流程，通过评分系统和3D仿真操作相互配合，学生可以自由调控葡萄酒生产过程中温度、物料数据等关键参数，通过认知学习、评分考核、3D仿真工艺操作等措施强化和巩固学生对葡萄酒生产所需原料、设备及酿造工艺等知识的学习，学生和老师可以通过仿真操作记录和评分系统了解学生实验过程和评价学生最终实验结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
          <w:bCs/>
          <w:spacing w:val="4"/>
          <w:sz w:val="28"/>
          <w:szCs w:val="28"/>
          <w:lang w:val="en-US" w:eastAsia="zh-CN"/>
        </w:rPr>
      </w:pPr>
      <w:r>
        <w:rPr>
          <w:rFonts w:hint="eastAsia" w:cstheme="minorBidi"/>
          <w:kern w:val="2"/>
          <w:sz w:val="24"/>
          <w:szCs w:val="24"/>
          <w:lang w:val="en-US" w:eastAsia="zh-CN" w:bidi="ar-SA"/>
        </w:rPr>
        <w:t>本项目的建设可以弥补学校葡萄酒生产实践课程的缺乏，通过本项目建设，为酿酒工程专业搭建葡萄酒生产工厂实践的平台，通过3D仿真实验操作，帮助学生学习葡萄酒工艺的实际操作，提升酿酒工程学生理论联系实际能力。本虚拟仿真实验的建设，也可以作为酿酒工程认识实习、生产实习、酿酒工艺综合实验等实践性课程内容的有效补充和延伸。</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bCs/>
          <w:spacing w:val="4"/>
          <w:sz w:val="28"/>
          <w:szCs w:val="28"/>
          <w:lang w:val="en-US" w:eastAsia="zh-CN"/>
        </w:rPr>
      </w:pPr>
      <w:r>
        <w:rPr>
          <w:rFonts w:hint="eastAsia" w:ascii="宋体" w:hAnsi="宋体"/>
          <w:b/>
          <w:bCs/>
          <w:spacing w:val="4"/>
          <w:sz w:val="28"/>
          <w:szCs w:val="28"/>
          <w:lang w:val="en-US" w:eastAsia="zh-CN"/>
        </w:rPr>
        <w:t>二</w:t>
      </w:r>
      <w:r>
        <w:rPr>
          <w:rFonts w:hint="eastAsia" w:ascii="宋体" w:hAnsi="宋体"/>
          <w:b/>
          <w:bCs/>
          <w:spacing w:val="4"/>
          <w:sz w:val="28"/>
          <w:szCs w:val="28"/>
        </w:rPr>
        <w:t>、</w:t>
      </w:r>
      <w:r>
        <w:rPr>
          <w:rFonts w:hint="eastAsia" w:ascii="宋体" w:hAnsi="宋体"/>
          <w:b/>
          <w:bCs/>
          <w:spacing w:val="4"/>
          <w:sz w:val="28"/>
          <w:szCs w:val="28"/>
          <w:lang w:val="en-US" w:eastAsia="zh-CN"/>
        </w:rPr>
        <w:t>实现功能和目标</w:t>
      </w:r>
    </w:p>
    <w:p>
      <w:pPr>
        <w:pStyle w:val="11"/>
        <w:rPr>
          <w:rFonts w:hint="eastAsia"/>
          <w:sz w:val="24"/>
          <w:lang w:val="en-US" w:eastAsia="zh-CN"/>
        </w:rPr>
      </w:pPr>
      <w:r>
        <w:rPr>
          <w:rFonts w:hint="eastAsia"/>
          <w:sz w:val="24"/>
          <w:lang w:val="en-US" w:eastAsia="zh-CN"/>
        </w:rPr>
        <w:t xml:space="preserve">1、软件包括完整葡萄酒生产流程，包括葡萄酒酒庄设计相关知识理论、葡萄酒酿造前处理、葡萄酒发酵、葡萄酒冷冻、葡萄酒陈酿、葡萄酒灌装等操作过程，并搭建高精度三维仿真模型；                                                                  </w:t>
      </w:r>
    </w:p>
    <w:p>
      <w:pPr>
        <w:pStyle w:val="11"/>
        <w:rPr>
          <w:rFonts w:hint="eastAsia"/>
          <w:sz w:val="24"/>
          <w:lang w:val="en-US" w:eastAsia="zh-CN"/>
        </w:rPr>
      </w:pPr>
      <w:r>
        <w:rPr>
          <w:rFonts w:hint="eastAsia"/>
          <w:sz w:val="24"/>
          <w:lang w:val="en-US" w:eastAsia="zh-CN"/>
        </w:rPr>
        <w:t>2、软件分为3D仿真工厂操作界面和智能评分系统两个界面，在模块操作中穿插有原辅料认知、车间布局认知和设备认知知识点，包括葡萄品种认知及验收标准、车间3D 布局、仿真设备结构部件和运行原理等知识的展示。学生通过仿真操作，学习和掌握酿造原料的作用与特点，葡萄酒酿造前处理、葡萄酒发酵、葡萄酒冷冻、葡萄酒陈酿、葡萄酒灌装等工序的实操、作用及工序要求。</w:t>
      </w:r>
    </w:p>
    <w:p>
      <w:pPr>
        <w:pStyle w:val="11"/>
        <w:rPr>
          <w:rFonts w:hint="eastAsia"/>
          <w:sz w:val="24"/>
          <w:lang w:val="en-US" w:eastAsia="zh-CN"/>
        </w:rPr>
      </w:pPr>
      <w:r>
        <w:rPr>
          <w:rFonts w:hint="eastAsia"/>
          <w:sz w:val="24"/>
          <w:lang w:val="en-US" w:eastAsia="zh-CN"/>
        </w:rPr>
        <w:t>3、软件设计分为认识实习及生产实习两大部分，包含干红及干白葡萄酒生产专业知识模块学习课件及资料。</w:t>
      </w:r>
    </w:p>
    <w:p>
      <w:pPr>
        <w:pStyle w:val="11"/>
        <w:rPr>
          <w:rFonts w:hint="eastAsia"/>
          <w:sz w:val="24"/>
          <w:lang w:val="en-US" w:eastAsia="zh-CN"/>
        </w:rPr>
      </w:pPr>
      <w:r>
        <w:rPr>
          <w:rFonts w:hint="eastAsia"/>
          <w:sz w:val="24"/>
          <w:lang w:val="en-US" w:eastAsia="zh-CN"/>
        </w:rPr>
        <w:t xml:space="preserve">4、软件具有智能评分系统，软件通过智能评分系统以参数设计要求，步骤操作及思考题考核的形式对学生进行智能考核并给出相关分数便于老师进行课程总结、分析及评价；                                                               </w:t>
      </w:r>
    </w:p>
    <w:p>
      <w:pPr>
        <w:pStyle w:val="11"/>
        <w:rPr>
          <w:rFonts w:hint="eastAsia"/>
          <w:sz w:val="24"/>
          <w:lang w:val="en-US" w:eastAsia="zh-CN"/>
        </w:rPr>
      </w:pPr>
      <w:r>
        <w:rPr>
          <w:rFonts w:hint="eastAsia"/>
          <w:sz w:val="24"/>
          <w:lang w:val="en-US" w:eastAsia="zh-CN"/>
        </w:rPr>
        <w:t>5、软件具有操作过程错误操作及错误设置参数的评分反馈，既保证了学生虚拟仿真实验的自由度，又方便学生及时总结与修正。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b/>
          <w:bCs/>
          <w:spacing w:val="4"/>
          <w:sz w:val="28"/>
          <w:szCs w:val="28"/>
          <w:lang w:val="en-US" w:eastAsia="zh-CN"/>
        </w:rPr>
      </w:pPr>
      <w:r>
        <w:rPr>
          <w:rFonts w:hint="eastAsia" w:ascii="宋体" w:hAnsi="宋体"/>
          <w:b/>
          <w:bCs/>
          <w:spacing w:val="4"/>
          <w:sz w:val="28"/>
          <w:szCs w:val="28"/>
          <w:lang w:val="en-US" w:eastAsia="zh-CN"/>
        </w:rPr>
        <w:t>三、功能需求</w:t>
      </w:r>
    </w:p>
    <w:p>
      <w:pPr>
        <w:pStyle w:val="11"/>
        <w:rPr>
          <w:rFonts w:hint="eastAsia"/>
          <w:sz w:val="24"/>
          <w:lang w:val="en-US" w:eastAsia="zh-CN"/>
        </w:rPr>
      </w:pPr>
      <w:r>
        <w:rPr>
          <w:rFonts w:hint="eastAsia"/>
          <w:sz w:val="24"/>
          <w:lang w:val="en-US" w:eastAsia="zh-CN"/>
        </w:rPr>
        <w:t xml:space="preserve">本项目建设内容及要求如下：                                          </w:t>
      </w:r>
    </w:p>
    <w:p>
      <w:pPr>
        <w:pStyle w:val="11"/>
        <w:rPr>
          <w:rFonts w:hint="eastAsia"/>
          <w:sz w:val="24"/>
          <w:lang w:val="en-US" w:eastAsia="zh-CN"/>
        </w:rPr>
      </w:pPr>
      <w:r>
        <w:rPr>
          <w:rFonts w:hint="eastAsia"/>
          <w:sz w:val="24"/>
          <w:lang w:val="en-US" w:eastAsia="zh-CN"/>
        </w:rPr>
        <w:t xml:space="preserve">1、完成完整葡萄酒生产酿造工厂、车间、设备及完整生产流程高精度三维仿真模型的搭建，包括原料认知、葡萄酒酿造前处理、葡萄酒发酵、葡萄酒冷冻、葡萄酒陈酿、葡萄酒灌装等工序；提供葡萄酒庄规划与设计软件视频，视频内容包含酒庄总览（具体内容为：在地图上查看中国著名葡萄酒庄）、酒庄游览（具体内容为：3D场景中游览现代风和欧洲风2个酒庄以及酒庄的车间内部）、酒庄建设（具体内容为：物料衡算、设备选型、人员选型及经济核算）。                                                              </w:t>
      </w:r>
    </w:p>
    <w:p>
      <w:pPr>
        <w:pStyle w:val="11"/>
        <w:rPr>
          <w:rFonts w:hint="eastAsia"/>
          <w:sz w:val="24"/>
          <w:lang w:val="en-US" w:eastAsia="zh-CN"/>
        </w:rPr>
      </w:pPr>
      <w:r>
        <w:rPr>
          <w:rFonts w:hint="eastAsia"/>
          <w:sz w:val="24"/>
          <w:lang w:val="en-US" w:eastAsia="zh-CN"/>
        </w:rPr>
        <w:t>2、在葡萄酒酿造前处理工段，学生可查看葡萄园区规划的相关知识，并可鸟瞰整个庄园场景，对各个品种的葡萄进行认识，并根据任务指引完成人工拣选、除梗破碎等流程。在人工拣选过程中，学生可按照操作指引完成学生需要模拟现实操作将混入葡萄中的枝、叶、生青果、霉烂果捡出，以免进入葡萄果浆中，影响葡萄酒的风味。在除梗破碎工段，学生可点击相应设备对其运行原理进行进一步的学习。在白葡萄酒发酵过程中，可为了防止葡萄浆果氧化，计算焦亚硫酸钾的添加量。</w:t>
      </w:r>
    </w:p>
    <w:p>
      <w:pPr>
        <w:pStyle w:val="11"/>
        <w:rPr>
          <w:rFonts w:hint="eastAsia"/>
          <w:sz w:val="24"/>
          <w:lang w:val="en-US" w:eastAsia="zh-CN"/>
        </w:rPr>
      </w:pPr>
      <w:r>
        <w:rPr>
          <w:rFonts w:hint="eastAsia"/>
          <w:sz w:val="24"/>
          <w:lang w:val="en-US" w:eastAsia="zh-CN"/>
        </w:rPr>
        <w:t>在葡萄酒发酵过程中，学生可通过对除梗破碎、装罐、酵母添加、发酵温度、皮渣分离及压榨、苹果酸-乳酸等过程的操作进一步了解葡萄酒发酵过程。并学习发酵过程中相应温度的控制、及酵母添加量的计算，通过糖度、酒精度的检测判断是否进行苹果酸-乳酸过程。</w:t>
      </w:r>
    </w:p>
    <w:p>
      <w:pPr>
        <w:pStyle w:val="11"/>
        <w:rPr>
          <w:rFonts w:hint="eastAsia"/>
          <w:sz w:val="24"/>
          <w:lang w:val="en-US" w:eastAsia="zh-CN"/>
        </w:rPr>
      </w:pPr>
      <w:r>
        <w:rPr>
          <w:rFonts w:hint="eastAsia"/>
          <w:sz w:val="24"/>
          <w:lang w:val="en-US" w:eastAsia="zh-CN"/>
        </w:rPr>
        <w:t>在葡萄酒冷稳过程中，葡萄酒经过冷冻机降温后进入冷冻罐，经过一系列的物理化学反应，达到最佳饮用质量。在这期间，冷冻间车间管理员主要进行温度的监控、转罐以及理化性质的检测，待理化性质检测合格后，进行稳定性检测，检测合格后便可送去灌装。</w:t>
      </w:r>
    </w:p>
    <w:p>
      <w:pPr>
        <w:pStyle w:val="11"/>
        <w:rPr>
          <w:rFonts w:hint="eastAsia"/>
          <w:sz w:val="24"/>
          <w:lang w:val="en-US" w:eastAsia="zh-CN"/>
        </w:rPr>
      </w:pPr>
      <w:r>
        <w:rPr>
          <w:rFonts w:hint="eastAsia"/>
          <w:sz w:val="24"/>
          <w:lang w:val="en-US" w:eastAsia="zh-CN"/>
        </w:rPr>
        <w:t>在葡萄酒灌装过程中，学生可学习整个灌装流程，并可点击拆垛机、洗瓶机、膜过滤、灌装压塞机、烘干机、压帽机、贴标机、喷码机、纸箱成型机、装箱机机封箱机等各灌装设备进行相关知识点的学习。</w:t>
      </w:r>
    </w:p>
    <w:p>
      <w:pPr>
        <w:pStyle w:val="11"/>
        <w:rPr>
          <w:rFonts w:hint="eastAsia"/>
          <w:sz w:val="24"/>
          <w:lang w:val="en-US" w:eastAsia="zh-CN"/>
        </w:rPr>
      </w:pPr>
      <w:r>
        <w:rPr>
          <w:rFonts w:hint="eastAsia"/>
          <w:sz w:val="24"/>
          <w:lang w:val="en-US" w:eastAsia="zh-CN"/>
        </w:rPr>
        <w:t>在葡萄酒陈酿过程中，学生可按照操作指引选择正确的木桶清洗设备对木桶进行清洗、通过对木桶入酒机的操作完成橡木桶入酒过程、并通过对酒窖温湿度的调节完成对温度的监控，并对酒的感官以及理化性质分析等流程进行操作。</w:t>
      </w:r>
    </w:p>
    <w:p>
      <w:pPr>
        <w:pStyle w:val="11"/>
        <w:rPr>
          <w:rFonts w:hint="eastAsia"/>
          <w:sz w:val="24"/>
          <w:lang w:val="en-US" w:eastAsia="zh-CN"/>
        </w:rPr>
      </w:pPr>
      <w:r>
        <w:rPr>
          <w:rFonts w:hint="eastAsia"/>
          <w:sz w:val="24"/>
          <w:lang w:val="en-US" w:eastAsia="zh-CN"/>
        </w:rPr>
        <w:t>安全知识：讲解学习安全管理制度，学习消防设备知识。通过鼠标拖拽将建筑中的消防系统设备一一安装。设备可任意从工具栏中拖出至房间内任意位置，且数量无限制。设备方向可根据墙面自动调整。拖至正确位置可自动吸附。并现场演示以上内容。</w:t>
      </w:r>
    </w:p>
    <w:p>
      <w:pPr>
        <w:pStyle w:val="11"/>
        <w:rPr>
          <w:rFonts w:hint="eastAsia"/>
          <w:sz w:val="24"/>
          <w:lang w:val="en-US" w:eastAsia="zh-CN"/>
        </w:rPr>
      </w:pPr>
      <w:r>
        <w:rPr>
          <w:rFonts w:hint="eastAsia"/>
          <w:sz w:val="24"/>
          <w:lang w:val="en-US" w:eastAsia="zh-CN"/>
        </w:rPr>
        <w:t xml:space="preserve">3、完成生产设备高精度三维仿真模型的搭建、设备结构部件和运行原理等知识的展示；  </w:t>
      </w:r>
    </w:p>
    <w:p>
      <w:pPr>
        <w:pStyle w:val="11"/>
        <w:rPr>
          <w:rFonts w:hint="eastAsia"/>
          <w:sz w:val="24"/>
          <w:lang w:val="en-US" w:eastAsia="zh-CN"/>
        </w:rPr>
      </w:pPr>
      <w:r>
        <w:rPr>
          <w:rFonts w:hint="eastAsia"/>
          <w:sz w:val="24"/>
          <w:lang w:val="en-US" w:eastAsia="zh-CN"/>
        </w:rPr>
        <w:t>设备需要具有自动化控制功能:提供视频展示可通过至少两款PLC编程软件中间件直接与虚拟仿真软件进行数据通讯，可以通过编程软件控制仿真场景动作并采集仿真场景的信号。</w:t>
      </w:r>
    </w:p>
    <w:p>
      <w:pPr>
        <w:pStyle w:val="11"/>
        <w:rPr>
          <w:rFonts w:hint="eastAsia"/>
          <w:sz w:val="24"/>
          <w:lang w:val="en-US" w:eastAsia="zh-CN"/>
        </w:rPr>
      </w:pPr>
      <w:r>
        <w:rPr>
          <w:rFonts w:hint="eastAsia"/>
          <w:sz w:val="24"/>
          <w:lang w:val="en-US" w:eastAsia="zh-CN"/>
        </w:rPr>
        <w:t>软件三维仿真生产场景采用 WebGL三维图形引擎开发，投标时需现场演示内容组件功能创建三维可视化实训程序的搭建，需包含“位置”，“旋转”和“缩放”的基础信息，并展示以下“用户编辑”功能:着色器、脚本文件、动画、光源、材质、贴图、天空盒、网格等。</w:t>
      </w:r>
    </w:p>
    <w:p>
      <w:pPr>
        <w:pStyle w:val="11"/>
        <w:rPr>
          <w:rFonts w:hint="eastAsia"/>
          <w:sz w:val="24"/>
          <w:lang w:val="en-US" w:eastAsia="zh-CN"/>
        </w:rPr>
      </w:pPr>
      <w:r>
        <w:rPr>
          <w:rFonts w:hint="eastAsia"/>
          <w:sz w:val="24"/>
          <w:lang w:val="en-US" w:eastAsia="zh-CN"/>
        </w:rPr>
        <w:t xml:space="preserve">4、完成虚拟仿真实验参数、实验评价指标及评分系统的搭建，软件通过智能评分系统以参数设计要求，步骤操作及思考题考核的形式对学生进行智能考核并给出相关分数便于老师进行课程评价；                                  </w:t>
      </w:r>
    </w:p>
    <w:p>
      <w:pPr>
        <w:pStyle w:val="11"/>
        <w:rPr>
          <w:rFonts w:hint="eastAsia"/>
          <w:sz w:val="24"/>
          <w:lang w:val="en-US" w:eastAsia="zh-CN"/>
        </w:rPr>
      </w:pPr>
      <w:r>
        <w:rPr>
          <w:rFonts w:hint="eastAsia"/>
          <w:sz w:val="24"/>
          <w:lang w:val="en-US" w:eastAsia="zh-CN"/>
        </w:rPr>
        <w:t>5、具备操作过程错误操作及错误设置参数的评分反馈，提高葡萄酒生产酿造过程增加虚拟仿真实验的自由度。</w:t>
      </w:r>
    </w:p>
    <w:p>
      <w:pPr>
        <w:pStyle w:val="11"/>
        <w:rPr>
          <w:rFonts w:hint="eastAsia"/>
          <w:sz w:val="24"/>
          <w:lang w:val="en-US" w:eastAsia="zh-CN"/>
        </w:rPr>
      </w:pPr>
      <w:r>
        <w:rPr>
          <w:rFonts w:hint="eastAsia"/>
          <w:sz w:val="24"/>
          <w:lang w:val="en-US" w:eastAsia="zh-CN"/>
        </w:rPr>
        <w:t>6、酿酒资源拓展</w:t>
      </w:r>
    </w:p>
    <w:p>
      <w:pPr>
        <w:pStyle w:val="11"/>
        <w:rPr>
          <w:rFonts w:hint="eastAsia"/>
          <w:sz w:val="24"/>
          <w:lang w:val="en-US" w:eastAsia="zh-CN"/>
        </w:rPr>
      </w:pPr>
      <w:r>
        <w:rPr>
          <w:rFonts w:hint="eastAsia"/>
          <w:sz w:val="24"/>
          <w:lang w:val="en-US" w:eastAsia="zh-CN"/>
        </w:rPr>
        <w:t>葡萄酒酿造包含葡萄酒酒庄设计视频、干白葡萄酒酿造视频和干红葡萄酒酿造视频，葡萄酒酒庄设计包含酒庄总览（具体内容为：在地图上查看中国著名葡萄酒庄）、酒庄游览（具体内容为：3D场景中游览现代风和欧洲风2个酒庄以及酒庄的车间内部）、酒庄建设（具体内容为：物料衡算、设备选型、人员选型及经济核算），干红和干白酿造内容包含葡萄酒酒庄外景、前处理车间、发酵车间、冷冻车间、包装车间、酒窖等场景操作及漫游。浓香型白酒酿造工艺包含：传统手工酿造视频及机械智能酿造视频两种工艺。果酒酿造视频资源包含：磨盘柿、桑葚和山楂三种果酒的酿造流程。米香型白酒酿造视频资源包含：生产原料、制曲、蒸饭、续蒸、拌曲、入罐、发酵管理、蒸酒、酒体储存、酒体勾调、包装等全流程。</w:t>
      </w:r>
    </w:p>
    <w:p>
      <w:pPr>
        <w:pStyle w:val="11"/>
        <w:rPr>
          <w:rFonts w:hint="eastAsia"/>
          <w:sz w:val="24"/>
          <w:lang w:val="en-US" w:eastAsia="zh-CN"/>
        </w:rPr>
      </w:pPr>
      <w:r>
        <w:rPr>
          <w:rFonts w:hint="eastAsia"/>
          <w:sz w:val="24"/>
          <w:lang w:val="en-US" w:eastAsia="zh-CN"/>
        </w:rPr>
        <w:t>7、系统需对接学校统一身份认证等校内公共平台，可无缝对接校级教务处虚拟仿真平台。</w:t>
      </w:r>
    </w:p>
    <w:p>
      <w:pPr>
        <w:pStyle w:val="11"/>
        <w:rPr>
          <w:rFonts w:hint="eastAsia"/>
          <w:sz w:val="24"/>
          <w:lang w:val="en-US" w:eastAsia="zh-CN"/>
        </w:rPr>
      </w:pPr>
      <w:r>
        <w:rPr>
          <w:rFonts w:hint="eastAsia"/>
          <w:sz w:val="24"/>
          <w:lang w:val="en-US" w:eastAsia="zh-CN"/>
        </w:rPr>
        <w:t>8、供应商要求：</w:t>
      </w:r>
    </w:p>
    <w:p>
      <w:pPr>
        <w:pStyle w:val="11"/>
        <w:rPr>
          <w:rFonts w:hint="eastAsia"/>
          <w:sz w:val="24"/>
          <w:lang w:val="en-US" w:eastAsia="zh-CN"/>
        </w:rPr>
      </w:pPr>
      <w:r>
        <w:rPr>
          <w:rFonts w:hint="eastAsia"/>
          <w:sz w:val="24"/>
          <w:lang w:val="en-US" w:eastAsia="zh-CN"/>
        </w:rPr>
        <w:t>（1）投标方需要提供软件设计方案并现场演示该软件的所有功能模块。</w:t>
      </w:r>
    </w:p>
    <w:p>
      <w:pPr>
        <w:pStyle w:val="11"/>
        <w:rPr>
          <w:rFonts w:hint="eastAsia"/>
          <w:sz w:val="24"/>
          <w:lang w:val="en-US" w:eastAsia="zh-CN"/>
        </w:rPr>
      </w:pPr>
      <w:r>
        <w:rPr>
          <w:rFonts w:hint="eastAsia"/>
          <w:sz w:val="24"/>
          <w:lang w:val="en-US" w:eastAsia="zh-CN"/>
        </w:rPr>
        <w:t>（2）投标人需要提供以下资质材料：投标人具有认知考核类虚拟仿真软件著作权证书及其对应产品登记证书、具有虚拟仿真实验教学创新联盟创新合作伙伴的证明资料、具有网络资源库管理软件著作权证书。</w:t>
      </w:r>
    </w:p>
    <w:p>
      <w:pPr>
        <w:pStyle w:val="11"/>
        <w:rPr>
          <w:rFonts w:hint="eastAsia"/>
          <w:sz w:val="24"/>
          <w:lang w:val="en-US" w:eastAsia="zh-CN"/>
        </w:rPr>
      </w:pPr>
      <w:r>
        <w:rPr>
          <w:rFonts w:hint="eastAsia"/>
          <w:sz w:val="24"/>
          <w:lang w:val="en-US" w:eastAsia="zh-CN"/>
        </w:rPr>
        <w:t>（3）项目组成员具有PMP高级项目经理证书、软件设计师、信息系统项目管理师。</w:t>
      </w:r>
    </w:p>
    <w:p>
      <w:pPr>
        <w:pStyle w:val="11"/>
        <w:rPr>
          <w:rFonts w:hint="eastAsia"/>
          <w:sz w:val="24"/>
          <w:lang w:val="en-US" w:eastAsia="zh-CN"/>
        </w:rPr>
      </w:pPr>
      <w:r>
        <w:rPr>
          <w:rFonts w:hint="eastAsia"/>
          <w:sz w:val="24"/>
          <w:lang w:val="en-US" w:eastAsia="zh-CN"/>
        </w:rPr>
        <w:br w:type="page"/>
      </w:r>
    </w:p>
    <w:p>
      <w:pPr>
        <w:spacing w:before="340" w:after="330" w:line="360" w:lineRule="auto"/>
        <w:jc w:val="center"/>
        <w:rPr>
          <w:b/>
          <w:bCs/>
          <w:sz w:val="44"/>
          <w:szCs w:val="44"/>
        </w:rPr>
      </w:pPr>
      <w:r>
        <w:rPr>
          <w:rFonts w:hint="eastAsia"/>
          <w:b/>
          <w:bCs/>
          <w:sz w:val="44"/>
          <w:szCs w:val="44"/>
        </w:rPr>
        <w:t>第四部分 合同主要条款</w:t>
      </w:r>
    </w:p>
    <w:p>
      <w:pPr>
        <w:pBdr>
          <w:top w:val="none" w:color="auto" w:sz="0" w:space="1"/>
          <w:left w:val="none" w:color="auto" w:sz="0" w:space="4"/>
          <w:bottom w:val="none" w:color="auto" w:sz="0" w:space="1"/>
          <w:right w:val="none" w:color="auto" w:sz="0" w:space="4"/>
        </w:pBdr>
        <w:spacing w:line="360" w:lineRule="auto"/>
        <w:ind w:firstLine="482" w:firstLineChars="200"/>
        <w:jc w:val="left"/>
        <w:rPr>
          <w:rFonts w:ascii="宋体" w:hAnsi="宋体" w:eastAsia="宋体" w:cs="宋体"/>
          <w:b/>
          <w:sz w:val="24"/>
        </w:rPr>
      </w:pPr>
      <w:bookmarkStart w:id="10" w:name="_Toc498632778"/>
      <w:bookmarkStart w:id="11" w:name="_Toc511029427"/>
      <w:r>
        <w:rPr>
          <w:rFonts w:hint="eastAsia" w:ascii="宋体" w:hAnsi="宋体" w:eastAsia="宋体" w:cs="宋体"/>
          <w:b/>
          <w:sz w:val="24"/>
        </w:rPr>
        <w:t>1、交货期</w:t>
      </w:r>
    </w:p>
    <w:p>
      <w:pPr>
        <w:pBdr>
          <w:top w:val="none" w:color="auto" w:sz="0" w:space="1"/>
          <w:left w:val="none" w:color="auto" w:sz="0" w:space="4"/>
          <w:bottom w:val="none" w:color="auto" w:sz="0" w:space="1"/>
          <w:right w:val="none" w:color="auto" w:sz="0" w:space="4"/>
        </w:pBdr>
        <w:spacing w:line="360" w:lineRule="auto"/>
        <w:ind w:firstLine="482" w:firstLineChars="200"/>
        <w:jc w:val="left"/>
        <w:rPr>
          <w:rFonts w:ascii="宋体" w:hAnsi="宋体" w:eastAsia="宋体" w:cs="宋体"/>
          <w:b/>
          <w:sz w:val="24"/>
        </w:rPr>
      </w:pPr>
      <w:r>
        <w:rPr>
          <w:rFonts w:hint="eastAsia" w:ascii="宋体" w:hAnsi="宋体" w:eastAsia="宋体" w:cs="宋体"/>
          <w:b/>
          <w:sz w:val="24"/>
        </w:rPr>
        <w:t>合同签订后三个月内根据学校要求完成项目的部署和开发。</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2、交货地点</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江苏省无锡市蠡湖大道1800号江南大学。</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3、付款方式</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（1）合同签订后10个工作日内，甲方向乙方支付合同总价的</w:t>
      </w:r>
      <w:r>
        <w:rPr>
          <w:rFonts w:ascii="宋体" w:hAnsi="宋体" w:eastAsia="宋体" w:cs="宋体"/>
          <w:b/>
          <w:sz w:val="24"/>
        </w:rPr>
        <w:t>100</w:t>
      </w:r>
      <w:r>
        <w:rPr>
          <w:rFonts w:hint="eastAsia" w:ascii="宋体" w:hAnsi="宋体" w:eastAsia="宋体" w:cs="宋体"/>
          <w:b/>
          <w:sz w:val="24"/>
        </w:rPr>
        <w:t>%。</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4、安装、调试及验收要求</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（1）我校提供硬件环境：准备系统运行硬件服务器、网络资源。卖方配置软件环境，我校协助卖方安装软件；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（2）试运行阶段，卖方需安排技术人员驻留我校，保证系统各项功能正常运行。如遇问题应及时给予解决。试运行结束卖方需撰写试运行情况说明；</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（3）试运行结束后根据我校需求填写完整的验收报告；</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（4）项目实施过程中需提供项目实施计划书包括实施任务、人员安排、进度计划等；</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（5）项目交付后需提供：软件安装文件、系统操作说明文件、系统设计文档、数据字典说明文档、系统运行报告等；</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（6）验收不合格的自动延长软件质保期，质保期从验收合格后开始计算。</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5、质保期及售后服务</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软件质保</w:t>
      </w:r>
      <w:r>
        <w:rPr>
          <w:rFonts w:hint="eastAsia" w:ascii="宋体" w:hAnsi="宋体" w:eastAsia="宋体" w:cs="宋体"/>
          <w:b/>
          <w:bCs/>
          <w:sz w:val="24"/>
        </w:rPr>
        <w:t>三年</w:t>
      </w:r>
      <w:r>
        <w:rPr>
          <w:rFonts w:hint="eastAsia" w:ascii="宋体" w:hAnsi="宋体" w:eastAsia="宋体" w:cs="宋体"/>
          <w:sz w:val="24"/>
        </w:rPr>
        <w:t>；</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卖方在软件验收合格后质保期内，提供免费技术支持、维护服务、软件更新、适应性修改、增量性修改、版本升级与技术培训。提供7*24的电话技术支持和远程支持，如情况紧急可提供上门服务；</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卖方应针对买方人员在软件系统功能、使用方法和维护等方面进行必要的免费培训，并有培训计划；</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售后服务承诺书中承诺的其他服务条款。服务承诺中应包含以下几个方面:</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①免费维保期后维护及收费 免费维保期后卖方继续提供维保服务，维持原定的维保范围及标准、约定条款，包含期间提出的有关系统功能配置和优化需求，每年的维护费不得超过合同总价的 8%；</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②版本升级处理 卖方可能存在的后期软件升级，跟随升级协议约定，维持原有系统服务保障办法；若系统当前版本存在无法修复的安全漏洞或功能缺陷时，生成厂家应无条件对软件进行版本升级。</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③系统使用及运行问题解决的约定 用户单位提出问题给卖方（不分析问题的性质联系相应的技术人员），卖方分配任务给相应技术人员解决；因系统设计缺陷（BUG） 导致问题的违约责任、违约金及故障排除时间（伴随故障排除时间的延长，违约金逐步提高）；</w:t>
      </w:r>
    </w:p>
    <w:tbl>
      <w:tblPr>
        <w:tblStyle w:val="17"/>
        <w:tblW w:w="9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9"/>
        <w:gridCol w:w="3309"/>
        <w:gridCol w:w="5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149" w:type="dxa"/>
            <w:shd w:val="clear" w:color="auto" w:fill="auto"/>
          </w:tcPr>
          <w:p>
            <w:pPr>
              <w:pStyle w:val="51"/>
              <w:kinsoku w:val="0"/>
              <w:overflowPunct w:val="0"/>
              <w:spacing w:before="157"/>
              <w:ind w:left="71" w:right="63"/>
              <w:jc w:val="center"/>
              <w:rPr>
                <w:rFonts w:eastAsia="宋体"/>
                <w:b/>
                <w:bCs/>
              </w:rPr>
            </w:pPr>
            <w:r>
              <w:rPr>
                <w:rFonts w:hint="eastAsia" w:eastAsia="宋体"/>
                <w:b/>
                <w:bCs/>
              </w:rPr>
              <w:t>故障级别</w:t>
            </w:r>
          </w:p>
        </w:tc>
        <w:tc>
          <w:tcPr>
            <w:tcW w:w="3309" w:type="dxa"/>
            <w:shd w:val="clear" w:color="auto" w:fill="auto"/>
          </w:tcPr>
          <w:p>
            <w:pPr>
              <w:pStyle w:val="51"/>
              <w:kinsoku w:val="0"/>
              <w:overflowPunct w:val="0"/>
              <w:spacing w:before="157"/>
              <w:ind w:left="942"/>
              <w:rPr>
                <w:rFonts w:eastAsia="宋体"/>
                <w:b/>
                <w:bCs/>
              </w:rPr>
            </w:pPr>
            <w:r>
              <w:rPr>
                <w:rFonts w:hint="eastAsia" w:eastAsia="宋体"/>
                <w:b/>
                <w:bCs/>
              </w:rPr>
              <w:t>故障描述</w:t>
            </w:r>
          </w:p>
        </w:tc>
        <w:tc>
          <w:tcPr>
            <w:tcW w:w="5500" w:type="dxa"/>
            <w:shd w:val="clear" w:color="auto" w:fill="auto"/>
          </w:tcPr>
          <w:p>
            <w:pPr>
              <w:pStyle w:val="51"/>
              <w:kinsoku w:val="0"/>
              <w:overflowPunct w:val="0"/>
              <w:spacing w:before="157"/>
              <w:ind w:left="2148" w:right="2136"/>
              <w:jc w:val="center"/>
              <w:rPr>
                <w:rFonts w:eastAsia="宋体"/>
                <w:b/>
                <w:bCs/>
              </w:rPr>
            </w:pPr>
            <w:r>
              <w:rPr>
                <w:rFonts w:hint="eastAsia" w:eastAsia="宋体"/>
                <w:b/>
                <w:bCs/>
              </w:rPr>
              <w:t>对应服务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1149" w:type="dxa"/>
            <w:shd w:val="clear" w:color="auto" w:fill="auto"/>
          </w:tcPr>
          <w:p>
            <w:pPr>
              <w:pStyle w:val="51"/>
              <w:kinsoku w:val="0"/>
              <w:overflowPunct w:val="0"/>
              <w:rPr>
                <w:rFonts w:eastAsia="宋体"/>
              </w:rPr>
            </w:pPr>
          </w:p>
          <w:p>
            <w:pPr>
              <w:pStyle w:val="51"/>
              <w:kinsoku w:val="0"/>
              <w:overflowPunct w:val="0"/>
              <w:rPr>
                <w:rFonts w:eastAsia="宋体"/>
              </w:rPr>
            </w:pPr>
          </w:p>
          <w:p>
            <w:pPr>
              <w:pStyle w:val="51"/>
              <w:kinsoku w:val="0"/>
              <w:overflowPunct w:val="0"/>
              <w:spacing w:before="189"/>
              <w:ind w:left="69" w:right="63"/>
              <w:jc w:val="center"/>
              <w:rPr>
                <w:rFonts w:eastAsia="宋体"/>
              </w:rPr>
            </w:pPr>
            <w:r>
              <w:rPr>
                <w:rFonts w:hint="eastAsia" w:eastAsia="宋体"/>
              </w:rPr>
              <w:t>SIS1</w:t>
            </w:r>
          </w:p>
        </w:tc>
        <w:tc>
          <w:tcPr>
            <w:tcW w:w="3309" w:type="dxa"/>
            <w:shd w:val="clear" w:color="auto" w:fill="auto"/>
          </w:tcPr>
          <w:p>
            <w:pPr>
              <w:pStyle w:val="51"/>
              <w:kinsoku w:val="0"/>
              <w:overflowPunct w:val="0"/>
              <w:spacing w:before="8"/>
              <w:rPr>
                <w:rFonts w:eastAsia="宋体"/>
                <w:sz w:val="36"/>
                <w:szCs w:val="36"/>
              </w:rPr>
            </w:pPr>
          </w:p>
          <w:p>
            <w:pPr>
              <w:pStyle w:val="51"/>
              <w:numPr>
                <w:ilvl w:val="0"/>
                <w:numId w:val="6"/>
              </w:numPr>
              <w:tabs>
                <w:tab w:val="left" w:pos="303"/>
              </w:tabs>
              <w:kinsoku w:val="0"/>
              <w:overflowPunct w:val="0"/>
              <w:rPr>
                <w:rFonts w:eastAsia="宋体"/>
              </w:rPr>
            </w:pPr>
            <w:r>
              <w:rPr>
                <w:rFonts w:hint="eastAsia" w:eastAsia="宋体"/>
              </w:rPr>
              <w:t>整体系统瘫痪。</w:t>
            </w:r>
          </w:p>
          <w:p>
            <w:pPr>
              <w:pStyle w:val="51"/>
              <w:numPr>
                <w:ilvl w:val="0"/>
                <w:numId w:val="6"/>
              </w:numPr>
              <w:tabs>
                <w:tab w:val="left" w:pos="303"/>
              </w:tabs>
              <w:kinsoku w:val="0"/>
              <w:overflowPunct w:val="0"/>
              <w:spacing w:before="12" w:line="252" w:lineRule="auto"/>
              <w:ind w:right="131"/>
              <w:rPr>
                <w:rFonts w:eastAsia="宋体"/>
                <w:spacing w:val="-2"/>
              </w:rPr>
            </w:pPr>
            <w:r>
              <w:rPr>
                <w:rFonts w:hint="eastAsia" w:eastAsia="宋体"/>
                <w:spacing w:val="-2"/>
              </w:rPr>
              <w:t>基于系统的用户核心业务应用出现严重问题。</w:t>
            </w:r>
          </w:p>
        </w:tc>
        <w:tc>
          <w:tcPr>
            <w:tcW w:w="5500" w:type="dxa"/>
            <w:shd w:val="clear" w:color="auto" w:fill="auto"/>
          </w:tcPr>
          <w:p>
            <w:pPr>
              <w:pStyle w:val="51"/>
              <w:numPr>
                <w:ilvl w:val="0"/>
                <w:numId w:val="7"/>
              </w:numPr>
              <w:tabs>
                <w:tab w:val="left" w:pos="305"/>
              </w:tabs>
              <w:kinsoku w:val="0"/>
              <w:overflowPunct w:val="0"/>
              <w:spacing w:before="103"/>
              <w:ind w:hanging="199"/>
              <w:rPr>
                <w:rFonts w:eastAsia="宋体"/>
                <w:spacing w:val="-8"/>
              </w:rPr>
            </w:pPr>
            <w:r>
              <w:rPr>
                <w:rFonts w:hint="eastAsia" w:eastAsia="宋体"/>
                <w:spacing w:val="-7"/>
              </w:rPr>
              <w:t xml:space="preserve">对于用户请求，在 </w:t>
            </w:r>
            <w:r>
              <w:rPr>
                <w:rFonts w:hint="eastAsia" w:eastAsia="宋体"/>
              </w:rPr>
              <w:t>2</w:t>
            </w:r>
            <w:r>
              <w:rPr>
                <w:rFonts w:hint="eastAsia" w:eastAsia="宋体"/>
                <w:spacing w:val="-8"/>
              </w:rPr>
              <w:t xml:space="preserve"> 小时内予以应答。</w:t>
            </w:r>
          </w:p>
          <w:p>
            <w:pPr>
              <w:pStyle w:val="51"/>
              <w:numPr>
                <w:ilvl w:val="0"/>
                <w:numId w:val="7"/>
              </w:numPr>
              <w:tabs>
                <w:tab w:val="left" w:pos="305"/>
              </w:tabs>
              <w:kinsoku w:val="0"/>
              <w:overflowPunct w:val="0"/>
              <w:spacing w:before="12" w:line="249" w:lineRule="auto"/>
              <w:ind w:right="74" w:hanging="199"/>
              <w:rPr>
                <w:rFonts w:eastAsia="宋体"/>
              </w:rPr>
            </w:pPr>
            <w:r>
              <w:rPr>
                <w:rFonts w:hint="eastAsia" w:eastAsia="宋体"/>
                <w:spacing w:val="-30"/>
              </w:rPr>
              <w:t xml:space="preserve">如 </w:t>
            </w:r>
            <w:r>
              <w:rPr>
                <w:rFonts w:hint="eastAsia" w:eastAsia="宋体"/>
              </w:rPr>
              <w:t>2</w:t>
            </w:r>
            <w:r>
              <w:rPr>
                <w:rFonts w:hint="eastAsia" w:eastAsia="宋体"/>
                <w:spacing w:val="-12"/>
              </w:rPr>
              <w:t xml:space="preserve"> 小时内无法解决，公司将在 </w:t>
            </w:r>
            <w:r>
              <w:rPr>
                <w:rFonts w:hint="eastAsia" w:eastAsia="宋体"/>
              </w:rPr>
              <w:t>4</w:t>
            </w:r>
            <w:r>
              <w:rPr>
                <w:rFonts w:hint="eastAsia" w:eastAsia="宋体"/>
                <w:spacing w:val="-10"/>
              </w:rPr>
              <w:t xml:space="preserve"> 小时内派技</w:t>
            </w:r>
            <w:r>
              <w:rPr>
                <w:rFonts w:hint="eastAsia" w:eastAsia="宋体"/>
                <w:spacing w:val="-16"/>
              </w:rPr>
              <w:t>术人员前往故障现场，提供直接的技术支持，同</w:t>
            </w:r>
            <w:r>
              <w:rPr>
                <w:rFonts w:hint="eastAsia" w:eastAsia="宋体"/>
              </w:rPr>
              <w:t>时报公司分管副总备案。</w:t>
            </w:r>
          </w:p>
          <w:p>
            <w:pPr>
              <w:pStyle w:val="51"/>
              <w:numPr>
                <w:ilvl w:val="0"/>
                <w:numId w:val="7"/>
              </w:numPr>
              <w:tabs>
                <w:tab w:val="left" w:pos="305"/>
              </w:tabs>
              <w:kinsoku w:val="0"/>
              <w:overflowPunct w:val="0"/>
              <w:ind w:left="304" w:hanging="220"/>
              <w:rPr>
                <w:rFonts w:eastAsia="宋体"/>
              </w:rPr>
            </w:pPr>
            <w:r>
              <w:rPr>
                <w:rFonts w:hint="eastAsia" w:eastAsia="宋体"/>
                <w:spacing w:val="-7"/>
              </w:rPr>
              <w:t xml:space="preserve">如无法做到，扣除 </w:t>
            </w:r>
            <w:r>
              <w:rPr>
                <w:rFonts w:hint="eastAsia" w:eastAsia="宋体"/>
              </w:rPr>
              <w:t>500</w:t>
            </w:r>
            <w:r>
              <w:rPr>
                <w:rFonts w:hint="eastAsia" w:eastAsia="宋体"/>
                <w:spacing w:val="-30"/>
              </w:rPr>
              <w:t xml:space="preserve"> 元</w:t>
            </w:r>
            <w:r>
              <w:rPr>
                <w:rFonts w:hint="eastAsia" w:eastAsia="宋体"/>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1149" w:type="dxa"/>
            <w:shd w:val="clear" w:color="auto" w:fill="auto"/>
          </w:tcPr>
          <w:p>
            <w:pPr>
              <w:pStyle w:val="51"/>
              <w:kinsoku w:val="0"/>
              <w:overflowPunct w:val="0"/>
              <w:rPr>
                <w:rFonts w:eastAsia="宋体"/>
              </w:rPr>
            </w:pPr>
          </w:p>
          <w:p>
            <w:pPr>
              <w:pStyle w:val="51"/>
              <w:kinsoku w:val="0"/>
              <w:overflowPunct w:val="0"/>
              <w:rPr>
                <w:rFonts w:eastAsia="宋体"/>
              </w:rPr>
            </w:pPr>
          </w:p>
          <w:p>
            <w:pPr>
              <w:pStyle w:val="51"/>
              <w:kinsoku w:val="0"/>
              <w:overflowPunct w:val="0"/>
              <w:spacing w:before="190"/>
              <w:ind w:left="69" w:right="63"/>
              <w:jc w:val="center"/>
              <w:rPr>
                <w:rFonts w:eastAsia="宋体"/>
              </w:rPr>
            </w:pPr>
            <w:r>
              <w:rPr>
                <w:rFonts w:hint="eastAsia" w:eastAsia="宋体"/>
              </w:rPr>
              <w:t>SIS2</w:t>
            </w:r>
          </w:p>
        </w:tc>
        <w:tc>
          <w:tcPr>
            <w:tcW w:w="3309" w:type="dxa"/>
            <w:shd w:val="clear" w:color="auto" w:fill="auto"/>
          </w:tcPr>
          <w:p>
            <w:pPr>
              <w:pStyle w:val="51"/>
              <w:kinsoku w:val="0"/>
              <w:overflowPunct w:val="0"/>
              <w:spacing w:before="9"/>
              <w:rPr>
                <w:rFonts w:eastAsia="宋体"/>
                <w:sz w:val="22"/>
              </w:rPr>
            </w:pPr>
          </w:p>
          <w:p>
            <w:pPr>
              <w:pStyle w:val="51"/>
              <w:numPr>
                <w:ilvl w:val="0"/>
                <w:numId w:val="8"/>
              </w:numPr>
              <w:tabs>
                <w:tab w:val="left" w:pos="303"/>
              </w:tabs>
              <w:kinsoku w:val="0"/>
              <w:overflowPunct w:val="0"/>
              <w:spacing w:line="249" w:lineRule="auto"/>
              <w:ind w:right="131"/>
              <w:rPr>
                <w:rFonts w:eastAsia="宋体"/>
              </w:rPr>
            </w:pPr>
            <w:r>
              <w:rPr>
                <w:rFonts w:hint="eastAsia" w:eastAsia="宋体"/>
                <w:spacing w:val="-2"/>
              </w:rPr>
              <w:t>系统整体性能下降或不</w:t>
            </w:r>
            <w:r>
              <w:rPr>
                <w:rFonts w:hint="eastAsia" w:eastAsia="宋体"/>
              </w:rPr>
              <w:t>稳定。</w:t>
            </w:r>
          </w:p>
          <w:p>
            <w:pPr>
              <w:pStyle w:val="51"/>
              <w:numPr>
                <w:ilvl w:val="0"/>
                <w:numId w:val="8"/>
              </w:numPr>
              <w:tabs>
                <w:tab w:val="left" w:pos="303"/>
              </w:tabs>
              <w:kinsoku w:val="0"/>
              <w:overflowPunct w:val="0"/>
              <w:spacing w:before="1" w:line="249" w:lineRule="auto"/>
              <w:ind w:right="131"/>
              <w:rPr>
                <w:rFonts w:eastAsia="宋体"/>
              </w:rPr>
            </w:pPr>
            <w:r>
              <w:rPr>
                <w:rFonts w:hint="eastAsia" w:eastAsia="宋体"/>
                <w:spacing w:val="-2"/>
              </w:rPr>
              <w:t>严重影响用户核心应用</w:t>
            </w:r>
            <w:r>
              <w:rPr>
                <w:rFonts w:hint="eastAsia" w:eastAsia="宋体"/>
              </w:rPr>
              <w:t>系统。</w:t>
            </w:r>
          </w:p>
        </w:tc>
        <w:tc>
          <w:tcPr>
            <w:tcW w:w="5500" w:type="dxa"/>
            <w:shd w:val="clear" w:color="auto" w:fill="auto"/>
          </w:tcPr>
          <w:p>
            <w:pPr>
              <w:pStyle w:val="51"/>
              <w:numPr>
                <w:ilvl w:val="0"/>
                <w:numId w:val="9"/>
              </w:numPr>
              <w:tabs>
                <w:tab w:val="left" w:pos="305"/>
              </w:tabs>
              <w:kinsoku w:val="0"/>
              <w:overflowPunct w:val="0"/>
              <w:spacing w:before="101"/>
              <w:ind w:hanging="199"/>
              <w:rPr>
                <w:rFonts w:eastAsia="宋体"/>
                <w:spacing w:val="-8"/>
              </w:rPr>
            </w:pPr>
            <w:r>
              <w:rPr>
                <w:rFonts w:hint="eastAsia" w:eastAsia="宋体"/>
                <w:spacing w:val="-7"/>
              </w:rPr>
              <w:t xml:space="preserve">对于用户请求，在 </w:t>
            </w:r>
            <w:r>
              <w:rPr>
                <w:rFonts w:hint="eastAsia" w:eastAsia="宋体"/>
              </w:rPr>
              <w:t>4</w:t>
            </w:r>
            <w:r>
              <w:rPr>
                <w:rFonts w:hint="eastAsia" w:eastAsia="宋体"/>
                <w:spacing w:val="-8"/>
              </w:rPr>
              <w:t xml:space="preserve"> 小时内予以应答。</w:t>
            </w:r>
          </w:p>
          <w:p>
            <w:pPr>
              <w:pStyle w:val="51"/>
              <w:numPr>
                <w:ilvl w:val="0"/>
                <w:numId w:val="9"/>
              </w:numPr>
              <w:tabs>
                <w:tab w:val="left" w:pos="305"/>
              </w:tabs>
              <w:kinsoku w:val="0"/>
              <w:overflowPunct w:val="0"/>
              <w:spacing w:before="14" w:line="249" w:lineRule="auto"/>
              <w:ind w:right="74" w:hanging="199"/>
              <w:rPr>
                <w:rFonts w:eastAsia="宋体"/>
              </w:rPr>
            </w:pPr>
            <w:r>
              <w:rPr>
                <w:rFonts w:hint="eastAsia" w:eastAsia="宋体"/>
                <w:spacing w:val="-30"/>
              </w:rPr>
              <w:t xml:space="preserve">如 </w:t>
            </w:r>
            <w:r>
              <w:rPr>
                <w:rFonts w:hint="eastAsia" w:eastAsia="宋体"/>
              </w:rPr>
              <w:t>4</w:t>
            </w:r>
            <w:r>
              <w:rPr>
                <w:rFonts w:hint="eastAsia" w:eastAsia="宋体"/>
                <w:spacing w:val="-12"/>
              </w:rPr>
              <w:t xml:space="preserve"> 小时内无法解决，公司将在 </w:t>
            </w:r>
            <w:r>
              <w:rPr>
                <w:rFonts w:hint="eastAsia" w:eastAsia="宋体"/>
              </w:rPr>
              <w:t>8</w:t>
            </w:r>
            <w:r>
              <w:rPr>
                <w:rFonts w:hint="eastAsia" w:eastAsia="宋体"/>
                <w:spacing w:val="-10"/>
              </w:rPr>
              <w:t xml:space="preserve"> 小时内派工</w:t>
            </w:r>
            <w:r>
              <w:rPr>
                <w:rFonts w:hint="eastAsia" w:eastAsia="宋体"/>
                <w:spacing w:val="-16"/>
              </w:rPr>
              <w:t>程人员前往故障现场，提供直接的技术支持，同</w:t>
            </w:r>
            <w:r>
              <w:rPr>
                <w:rFonts w:hint="eastAsia" w:eastAsia="宋体"/>
              </w:rPr>
              <w:t>时报公司分管副总备案。</w:t>
            </w:r>
          </w:p>
          <w:p>
            <w:pPr>
              <w:pStyle w:val="51"/>
              <w:numPr>
                <w:ilvl w:val="0"/>
                <w:numId w:val="9"/>
              </w:numPr>
              <w:tabs>
                <w:tab w:val="left" w:pos="305"/>
              </w:tabs>
              <w:kinsoku w:val="0"/>
              <w:overflowPunct w:val="0"/>
              <w:spacing w:before="1"/>
              <w:ind w:left="304" w:hanging="220"/>
              <w:rPr>
                <w:rFonts w:eastAsia="宋体"/>
              </w:rPr>
            </w:pPr>
            <w:r>
              <w:rPr>
                <w:rFonts w:hint="eastAsia" w:eastAsia="宋体"/>
                <w:spacing w:val="-7"/>
              </w:rPr>
              <w:t xml:space="preserve">如无法做到，扣除 </w:t>
            </w:r>
            <w:r>
              <w:rPr>
                <w:rFonts w:hint="eastAsia" w:eastAsia="宋体"/>
              </w:rPr>
              <w:t>200</w:t>
            </w:r>
            <w:r>
              <w:rPr>
                <w:rFonts w:hint="eastAsia" w:eastAsia="宋体"/>
                <w:spacing w:val="-30"/>
              </w:rPr>
              <w:t xml:space="preserve"> 元</w:t>
            </w:r>
            <w:r>
              <w:rPr>
                <w:rFonts w:hint="eastAsia" w:eastAsia="宋体"/>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jc w:val="center"/>
        </w:trPr>
        <w:tc>
          <w:tcPr>
            <w:tcW w:w="1149" w:type="dxa"/>
            <w:shd w:val="clear" w:color="auto" w:fill="auto"/>
          </w:tcPr>
          <w:p>
            <w:pPr>
              <w:pStyle w:val="51"/>
              <w:kinsoku w:val="0"/>
              <w:overflowPunct w:val="0"/>
              <w:rPr>
                <w:rFonts w:eastAsia="宋体"/>
              </w:rPr>
            </w:pPr>
          </w:p>
          <w:p>
            <w:pPr>
              <w:pStyle w:val="51"/>
              <w:kinsoku w:val="0"/>
              <w:overflowPunct w:val="0"/>
              <w:rPr>
                <w:rFonts w:eastAsia="宋体"/>
              </w:rPr>
            </w:pPr>
          </w:p>
          <w:p>
            <w:pPr>
              <w:pStyle w:val="51"/>
              <w:kinsoku w:val="0"/>
              <w:overflowPunct w:val="0"/>
              <w:rPr>
                <w:rFonts w:eastAsia="宋体"/>
              </w:rPr>
            </w:pPr>
          </w:p>
          <w:p>
            <w:pPr>
              <w:pStyle w:val="51"/>
              <w:kinsoku w:val="0"/>
              <w:overflowPunct w:val="0"/>
              <w:spacing w:before="4"/>
              <w:rPr>
                <w:rFonts w:eastAsia="宋体"/>
                <w:sz w:val="34"/>
                <w:szCs w:val="34"/>
              </w:rPr>
            </w:pPr>
          </w:p>
          <w:p>
            <w:pPr>
              <w:pStyle w:val="51"/>
              <w:kinsoku w:val="0"/>
              <w:overflowPunct w:val="0"/>
              <w:ind w:left="69" w:right="63"/>
              <w:jc w:val="center"/>
              <w:rPr>
                <w:rFonts w:eastAsia="宋体"/>
              </w:rPr>
            </w:pPr>
            <w:r>
              <w:rPr>
                <w:rFonts w:hint="eastAsia" w:eastAsia="宋体"/>
              </w:rPr>
              <w:t>SIS3</w:t>
            </w:r>
          </w:p>
        </w:tc>
        <w:tc>
          <w:tcPr>
            <w:tcW w:w="3309" w:type="dxa"/>
            <w:shd w:val="clear" w:color="auto" w:fill="auto"/>
          </w:tcPr>
          <w:p>
            <w:pPr>
              <w:pStyle w:val="51"/>
              <w:numPr>
                <w:ilvl w:val="0"/>
                <w:numId w:val="10"/>
              </w:numPr>
              <w:tabs>
                <w:tab w:val="left" w:pos="303"/>
              </w:tabs>
              <w:kinsoku w:val="0"/>
              <w:overflowPunct w:val="0"/>
              <w:spacing w:before="102" w:line="249" w:lineRule="auto"/>
              <w:ind w:right="131"/>
              <w:rPr>
                <w:rFonts w:eastAsia="宋体"/>
              </w:rPr>
            </w:pPr>
            <w:r>
              <w:rPr>
                <w:rFonts w:hint="eastAsia" w:eastAsia="宋体"/>
                <w:spacing w:val="-2"/>
              </w:rPr>
              <w:t>系统性能下降，但对用户的主要应用系统目前</w:t>
            </w:r>
            <w:r>
              <w:rPr>
                <w:rFonts w:hint="eastAsia" w:eastAsia="宋体"/>
              </w:rPr>
              <w:t>影响不大。</w:t>
            </w:r>
          </w:p>
          <w:p>
            <w:pPr>
              <w:pStyle w:val="51"/>
              <w:numPr>
                <w:ilvl w:val="0"/>
                <w:numId w:val="10"/>
              </w:numPr>
              <w:tabs>
                <w:tab w:val="left" w:pos="303"/>
              </w:tabs>
              <w:kinsoku w:val="0"/>
              <w:overflowPunct w:val="0"/>
              <w:spacing w:before="1" w:line="249" w:lineRule="auto"/>
              <w:ind w:right="131"/>
              <w:rPr>
                <w:rFonts w:eastAsia="宋体"/>
              </w:rPr>
            </w:pPr>
            <w:r>
              <w:rPr>
                <w:rFonts w:hint="eastAsia" w:eastAsia="宋体"/>
                <w:spacing w:val="-2"/>
              </w:rPr>
              <w:t>系统非核心故障，对用户主要应用系统没有影</w:t>
            </w:r>
            <w:r>
              <w:rPr>
                <w:rFonts w:hint="eastAsia" w:eastAsia="宋体"/>
              </w:rPr>
              <w:t>响或影响不大。</w:t>
            </w:r>
          </w:p>
          <w:p>
            <w:pPr>
              <w:pStyle w:val="51"/>
              <w:numPr>
                <w:ilvl w:val="0"/>
                <w:numId w:val="10"/>
              </w:numPr>
              <w:tabs>
                <w:tab w:val="left" w:pos="303"/>
              </w:tabs>
              <w:kinsoku w:val="0"/>
              <w:overflowPunct w:val="0"/>
              <w:spacing w:line="249" w:lineRule="auto"/>
              <w:ind w:right="131"/>
              <w:rPr>
                <w:rFonts w:eastAsia="宋体"/>
              </w:rPr>
            </w:pPr>
            <w:r>
              <w:rPr>
                <w:rFonts w:hint="eastAsia" w:eastAsia="宋体"/>
                <w:spacing w:val="-2"/>
              </w:rPr>
              <w:t>依靠用户自身技术水平</w:t>
            </w:r>
            <w:r>
              <w:rPr>
                <w:rFonts w:hint="eastAsia" w:eastAsia="宋体"/>
              </w:rPr>
              <w:t>可以解决的问题。</w:t>
            </w:r>
          </w:p>
        </w:tc>
        <w:tc>
          <w:tcPr>
            <w:tcW w:w="5500" w:type="dxa"/>
            <w:shd w:val="clear" w:color="auto" w:fill="auto"/>
          </w:tcPr>
          <w:p>
            <w:pPr>
              <w:pStyle w:val="51"/>
              <w:numPr>
                <w:ilvl w:val="0"/>
                <w:numId w:val="11"/>
              </w:numPr>
              <w:tabs>
                <w:tab w:val="left" w:pos="305"/>
              </w:tabs>
              <w:kinsoku w:val="0"/>
              <w:overflowPunct w:val="0"/>
              <w:ind w:hanging="199"/>
              <w:rPr>
                <w:rFonts w:eastAsia="宋体"/>
                <w:spacing w:val="-8"/>
              </w:rPr>
            </w:pPr>
            <w:r>
              <w:rPr>
                <w:rFonts w:hint="eastAsia" w:eastAsia="宋体"/>
                <w:spacing w:val="-9"/>
              </w:rPr>
              <w:t xml:space="preserve">对于用户请求，在 </w:t>
            </w:r>
            <w:r>
              <w:rPr>
                <w:rFonts w:hint="eastAsia" w:eastAsia="宋体"/>
              </w:rPr>
              <w:t>1</w:t>
            </w:r>
            <w:r>
              <w:rPr>
                <w:rFonts w:hint="eastAsia" w:eastAsia="宋体"/>
                <w:spacing w:val="-8"/>
              </w:rPr>
              <w:t xml:space="preserve"> 个工作日内进行问题确认</w:t>
            </w:r>
          </w:p>
          <w:p>
            <w:pPr>
              <w:pStyle w:val="51"/>
              <w:numPr>
                <w:ilvl w:val="0"/>
                <w:numId w:val="11"/>
              </w:numPr>
              <w:tabs>
                <w:tab w:val="left" w:pos="305"/>
              </w:tabs>
              <w:kinsoku w:val="0"/>
              <w:overflowPunct w:val="0"/>
              <w:spacing w:before="12" w:line="249" w:lineRule="auto"/>
              <w:ind w:right="182" w:hanging="199"/>
              <w:rPr>
                <w:rFonts w:eastAsia="宋体"/>
              </w:rPr>
            </w:pPr>
            <w:r>
              <w:rPr>
                <w:rFonts w:hint="eastAsia" w:eastAsia="宋体"/>
                <w:spacing w:val="-30"/>
              </w:rPr>
              <w:t xml:space="preserve">如 </w:t>
            </w:r>
            <w:r>
              <w:rPr>
                <w:rFonts w:hint="eastAsia" w:eastAsia="宋体"/>
              </w:rPr>
              <w:t>1</w:t>
            </w:r>
            <w:r>
              <w:rPr>
                <w:rFonts w:hint="eastAsia" w:eastAsia="宋体"/>
                <w:spacing w:val="-12"/>
              </w:rPr>
              <w:t xml:space="preserve"> 个工作日内无法解决，公司将在 </w:t>
            </w:r>
            <w:r>
              <w:rPr>
                <w:rFonts w:hint="eastAsia" w:eastAsia="宋体"/>
              </w:rPr>
              <w:t>2~3</w:t>
            </w:r>
            <w:r>
              <w:rPr>
                <w:rFonts w:hint="eastAsia" w:eastAsia="宋体"/>
                <w:spacing w:val="-26"/>
              </w:rPr>
              <w:t xml:space="preserve"> 个工</w:t>
            </w:r>
            <w:r>
              <w:rPr>
                <w:rFonts w:hint="eastAsia" w:eastAsia="宋体"/>
              </w:rPr>
              <w:t>作日解决或给出解决计划。</w:t>
            </w:r>
          </w:p>
          <w:p>
            <w:pPr>
              <w:pStyle w:val="51"/>
              <w:numPr>
                <w:ilvl w:val="0"/>
                <w:numId w:val="11"/>
              </w:numPr>
              <w:tabs>
                <w:tab w:val="left" w:pos="305"/>
              </w:tabs>
              <w:kinsoku w:val="0"/>
              <w:overflowPunct w:val="0"/>
              <w:spacing w:before="1"/>
              <w:ind w:left="304" w:hanging="220"/>
              <w:rPr>
                <w:rFonts w:eastAsia="宋体"/>
              </w:rPr>
            </w:pPr>
            <w:r>
              <w:rPr>
                <w:rFonts w:hint="eastAsia" w:eastAsia="宋体"/>
                <w:spacing w:val="-7"/>
              </w:rPr>
              <w:t xml:space="preserve">如无法做到，扣除 </w:t>
            </w:r>
            <w:r>
              <w:rPr>
                <w:rFonts w:hint="eastAsia" w:eastAsia="宋体"/>
              </w:rPr>
              <w:t>200</w:t>
            </w:r>
            <w:r>
              <w:rPr>
                <w:rFonts w:hint="eastAsia" w:eastAsia="宋体"/>
                <w:spacing w:val="-30"/>
              </w:rPr>
              <w:t xml:space="preserve"> 元</w:t>
            </w:r>
            <w:r>
              <w:rPr>
                <w:rFonts w:hint="eastAsia" w:eastAsia="宋体"/>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1149" w:type="dxa"/>
            <w:shd w:val="clear" w:color="auto" w:fill="auto"/>
          </w:tcPr>
          <w:p>
            <w:pPr>
              <w:pStyle w:val="51"/>
              <w:kinsoku w:val="0"/>
              <w:overflowPunct w:val="0"/>
              <w:spacing w:before="8"/>
              <w:rPr>
                <w:rFonts w:eastAsia="宋体"/>
                <w:sz w:val="22"/>
              </w:rPr>
            </w:pPr>
          </w:p>
          <w:p>
            <w:pPr>
              <w:pStyle w:val="51"/>
              <w:kinsoku w:val="0"/>
              <w:overflowPunct w:val="0"/>
              <w:ind w:left="69" w:right="63"/>
              <w:jc w:val="center"/>
              <w:rPr>
                <w:rFonts w:eastAsia="宋体"/>
              </w:rPr>
            </w:pPr>
            <w:r>
              <w:rPr>
                <w:rFonts w:hint="eastAsia" w:eastAsia="宋体"/>
              </w:rPr>
              <w:t>SIS4</w:t>
            </w:r>
          </w:p>
        </w:tc>
        <w:tc>
          <w:tcPr>
            <w:tcW w:w="3309" w:type="dxa"/>
            <w:shd w:val="clear" w:color="auto" w:fill="auto"/>
          </w:tcPr>
          <w:p>
            <w:pPr>
              <w:pStyle w:val="51"/>
              <w:numPr>
                <w:ilvl w:val="0"/>
                <w:numId w:val="12"/>
              </w:numPr>
              <w:tabs>
                <w:tab w:val="left" w:pos="303"/>
              </w:tabs>
              <w:kinsoku w:val="0"/>
              <w:overflowPunct w:val="0"/>
              <w:spacing w:before="103" w:line="249" w:lineRule="auto"/>
              <w:ind w:right="131"/>
              <w:rPr>
                <w:rFonts w:eastAsia="宋体"/>
              </w:rPr>
            </w:pPr>
            <w:r>
              <w:rPr>
                <w:rFonts w:hint="eastAsia" w:eastAsia="宋体"/>
                <w:spacing w:val="-2"/>
              </w:rPr>
              <w:t>产品功能、安装或配置</w:t>
            </w:r>
            <w:r>
              <w:rPr>
                <w:rFonts w:hint="eastAsia" w:eastAsia="宋体"/>
              </w:rPr>
              <w:t>方面的信息查询或支援，对系统运作无影响</w:t>
            </w:r>
          </w:p>
        </w:tc>
        <w:tc>
          <w:tcPr>
            <w:tcW w:w="5500" w:type="dxa"/>
            <w:shd w:val="clear" w:color="auto" w:fill="auto"/>
          </w:tcPr>
          <w:p>
            <w:pPr>
              <w:pStyle w:val="51"/>
              <w:numPr>
                <w:ilvl w:val="0"/>
                <w:numId w:val="13"/>
              </w:numPr>
              <w:tabs>
                <w:tab w:val="left" w:pos="305"/>
              </w:tabs>
              <w:kinsoku w:val="0"/>
              <w:overflowPunct w:val="0"/>
              <w:spacing w:before="103" w:line="249" w:lineRule="auto"/>
              <w:ind w:right="182" w:hanging="199"/>
              <w:rPr>
                <w:rFonts w:eastAsia="宋体"/>
              </w:rPr>
            </w:pPr>
            <w:r>
              <w:rPr>
                <w:rFonts w:hint="eastAsia" w:eastAsia="宋体"/>
                <w:spacing w:val="-1"/>
              </w:rPr>
              <w:t>用户提报问题，公司排期进行相应处理，并给</w:t>
            </w:r>
            <w:r>
              <w:rPr>
                <w:rFonts w:hint="eastAsia" w:eastAsia="宋体"/>
              </w:rPr>
              <w:t>出用户认可的工作计划。</w:t>
            </w:r>
          </w:p>
        </w:tc>
      </w:tr>
    </w:tbl>
    <w:p>
      <w:pPr>
        <w:spacing w:line="360" w:lineRule="auto"/>
        <w:ind w:firstLine="480" w:firstLineChars="200"/>
        <w:jc w:val="left"/>
        <w:rPr>
          <w:rFonts w:ascii="宋体" w:hAnsi="宋体" w:eastAsia="宋体" w:cs="宋体"/>
          <w:sz w:val="24"/>
        </w:rPr>
      </w:pPr>
      <w:r>
        <w:rPr>
          <w:rFonts w:hint="eastAsia" w:ascii="宋体" w:hAnsi="宋体" w:eastAsia="宋体" w:cs="宋体"/>
          <w:sz w:val="24"/>
        </w:rPr>
        <w:t>④数据备份与安全 备份频次确定，备份有效性保障、备份资料管理；</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6、知识产权</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因本协议产生的开发成果(包括源代码、系统技术文档、软件、数据等)由校方享有知识产权。未经校方书面许可，卖方不得许可第三方阅读、使用或复制。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卖方保证其开发成果及其开发过程不侵犯第三人的知识产权，如第三方以该产品侵犯知识产权为由提起诉讼，卖方将承担全部责任，校方不承担任何直接或间接责任。如造成校方损失的，卖方应予以赔偿。</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7、保密</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校方提供的任何数据信息、工作流程、文档、技术、程序代码、设计、图说、构图等，无论校方是否已明示为应保密的信息，无论校方是以书面、口头、实体展示或其他方式揭露予卖方者，均属保密资料；</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未经许可，卖方于任何情形下，不得以口头、书面、影印、复制、摄影、传阅或其它类似的行为，使应保密的资料被第三方知悉。因卖方受雇人、使用人、代理人、受任人泄露校方秘密者，均应视为卖方的行为，由卖方与该行为人连带负担一切责任；</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rPr>
        <w:tab/>
      </w:r>
      <w:r>
        <w:rPr>
          <w:rFonts w:hint="eastAsia" w:ascii="宋体" w:hAnsi="宋体" w:eastAsia="宋体" w:cs="宋体"/>
          <w:sz w:val="24"/>
        </w:rPr>
        <w:t>校方如发现因卖方原因使得校方秘密遭泄露，并造成校方极大损失时，卖方必须承担相关责任；校方同时停止为卖方提供任何技术服务和信息数据等。情节严重者，将追究卖方法律责任。</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rPr>
        <w:tab/>
      </w:r>
      <w:r>
        <w:rPr>
          <w:rFonts w:hint="eastAsia" w:ascii="宋体" w:hAnsi="宋体" w:eastAsia="宋体" w:cs="宋体"/>
          <w:sz w:val="24"/>
        </w:rPr>
        <w:t>卖方人员因开发、测试及维护等工作，登录本系统（软件）必须留下操作日志，账号信息应在校方备案。</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rPr>
        <w:tab/>
      </w:r>
      <w:r>
        <w:rPr>
          <w:rFonts w:hint="eastAsia" w:ascii="宋体" w:hAnsi="宋体" w:eastAsia="宋体" w:cs="宋体"/>
          <w:sz w:val="24"/>
        </w:rPr>
        <w:t>卖方如需远程服务器，必须提前告知校方并留下操作日志。</w:t>
      </w:r>
    </w:p>
    <w:p>
      <w:pPr>
        <w:spacing w:line="360" w:lineRule="auto"/>
        <w:ind w:firstLine="482" w:firstLineChars="200"/>
        <w:jc w:val="left"/>
        <w:rPr>
          <w:rFonts w:ascii="宋体" w:hAnsi="宋体" w:eastAsia="宋体" w:cs="宋体"/>
          <w:b/>
          <w:sz w:val="24"/>
        </w:rPr>
      </w:pPr>
      <w:r>
        <w:rPr>
          <w:rFonts w:hint="eastAsia" w:ascii="宋体" w:hAnsi="宋体" w:eastAsia="宋体" w:cs="宋体"/>
          <w:b/>
          <w:sz w:val="24"/>
        </w:rPr>
        <w:t>8、验收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rPr>
        <w:tab/>
      </w:r>
      <w:r>
        <w:rPr>
          <w:rFonts w:hint="eastAsia" w:ascii="宋体" w:hAnsi="宋体" w:eastAsia="宋体" w:cs="宋体"/>
          <w:sz w:val="24"/>
        </w:rPr>
        <w:t>项目验收：卖方准备好验收资料申请验收，校方组织验收</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rPr>
        <w:tab/>
      </w:r>
      <w:r>
        <w:rPr>
          <w:rFonts w:hint="eastAsia" w:ascii="宋体" w:hAnsi="宋体" w:eastAsia="宋体" w:cs="宋体"/>
          <w:sz w:val="24"/>
        </w:rPr>
        <w:t>验收标准：校方的评定标准。</w:t>
      </w:r>
    </w:p>
    <w:p>
      <w:pPr>
        <w:widowControl/>
        <w:jc w:val="left"/>
        <w:rPr>
          <w:rFonts w:ascii="宋体" w:hAnsi="宋体" w:eastAsia="宋体" w:cs="宋体"/>
          <w:sz w:val="32"/>
        </w:rPr>
      </w:pPr>
    </w:p>
    <w:p>
      <w:pPr>
        <w:rPr>
          <w:rFonts w:hint="eastAsia" w:asciiTheme="minorEastAsia" w:hAnsiTheme="minorEastAsia"/>
          <w:sz w:val="44"/>
          <w:szCs w:val="44"/>
        </w:rPr>
      </w:pPr>
      <w:r>
        <w:rPr>
          <w:rFonts w:hint="eastAsia" w:asciiTheme="minorEastAsia" w:hAnsiTheme="minorEastAsia"/>
          <w:sz w:val="44"/>
          <w:szCs w:val="44"/>
        </w:rPr>
        <w:br w:type="page"/>
      </w:r>
    </w:p>
    <w:p>
      <w:pPr>
        <w:pStyle w:val="4"/>
        <w:spacing w:before="340" w:after="330" w:line="360" w:lineRule="auto"/>
        <w:jc w:val="center"/>
        <w:rPr>
          <w:rFonts w:asciiTheme="minorEastAsia" w:hAnsiTheme="minorEastAsia"/>
          <w:b w:val="0"/>
          <w:bCs w:val="0"/>
        </w:rPr>
      </w:pPr>
      <w:r>
        <w:rPr>
          <w:rFonts w:hint="eastAsia" w:asciiTheme="minorEastAsia" w:hAnsiTheme="minorEastAsia"/>
          <w:sz w:val="44"/>
          <w:szCs w:val="44"/>
        </w:rPr>
        <w:t>第五部分 附件</w:t>
      </w:r>
    </w:p>
    <w:bookmarkEnd w:id="10"/>
    <w:bookmarkEnd w:id="11"/>
    <w:p>
      <w:pPr>
        <w:spacing w:line="360" w:lineRule="auto"/>
        <w:rPr>
          <w:rFonts w:ascii="宋体" w:hAnsi="宋体"/>
          <w:spacing w:val="4"/>
          <w:sz w:val="24"/>
        </w:rPr>
      </w:pPr>
      <w:bookmarkStart w:id="12" w:name="_Toc498612484"/>
      <w:r>
        <w:rPr>
          <w:rFonts w:hint="eastAsia" w:ascii="宋体" w:hAnsi="宋体"/>
          <w:spacing w:val="4"/>
          <w:sz w:val="24"/>
        </w:rPr>
        <w:t>附件1：报名投标确认函</w:t>
      </w:r>
    </w:p>
    <w:p>
      <w:pPr>
        <w:spacing w:line="360" w:lineRule="auto"/>
        <w:rPr>
          <w:rFonts w:ascii="宋体" w:hAnsi="宋体"/>
          <w:spacing w:val="4"/>
          <w:sz w:val="24"/>
        </w:rPr>
      </w:pPr>
      <w:r>
        <w:rPr>
          <w:rFonts w:hint="eastAsia" w:ascii="宋体" w:hAnsi="宋体"/>
          <w:spacing w:val="4"/>
          <w:sz w:val="24"/>
        </w:rPr>
        <w:t>附件2：投标函</w:t>
      </w:r>
    </w:p>
    <w:p>
      <w:pPr>
        <w:spacing w:line="360" w:lineRule="auto"/>
        <w:rPr>
          <w:rFonts w:ascii="宋体" w:hAnsi="宋体"/>
          <w:spacing w:val="4"/>
          <w:sz w:val="24"/>
        </w:rPr>
      </w:pPr>
      <w:r>
        <w:rPr>
          <w:rFonts w:hint="eastAsia" w:ascii="宋体" w:hAnsi="宋体"/>
          <w:spacing w:val="4"/>
          <w:sz w:val="24"/>
        </w:rPr>
        <w:t>附件3：项目清单及分项报价表</w:t>
      </w:r>
    </w:p>
    <w:p>
      <w:pPr>
        <w:spacing w:line="360" w:lineRule="auto"/>
        <w:rPr>
          <w:rFonts w:ascii="宋体" w:hAnsi="宋体"/>
          <w:sz w:val="24"/>
        </w:rPr>
      </w:pPr>
      <w:r>
        <w:rPr>
          <w:rFonts w:hint="eastAsia" w:ascii="宋体" w:hAnsi="宋体"/>
          <w:spacing w:val="4"/>
          <w:sz w:val="24"/>
        </w:rPr>
        <w:t>附件4：技术规格响应/偏</w:t>
      </w:r>
      <w:r>
        <w:rPr>
          <w:rFonts w:hint="eastAsia" w:ascii="宋体" w:hAnsi="宋体"/>
          <w:sz w:val="24"/>
        </w:rPr>
        <w:t>离表</w:t>
      </w:r>
    </w:p>
    <w:p>
      <w:pPr>
        <w:spacing w:line="360" w:lineRule="auto"/>
        <w:rPr>
          <w:rFonts w:ascii="宋体" w:hAnsi="宋体"/>
          <w:spacing w:val="4"/>
          <w:sz w:val="24"/>
        </w:rPr>
      </w:pPr>
      <w:r>
        <w:rPr>
          <w:rFonts w:hint="eastAsia" w:ascii="宋体" w:hAnsi="宋体"/>
          <w:spacing w:val="4"/>
          <w:sz w:val="24"/>
        </w:rPr>
        <w:t>附件5：供应商投标授权书</w:t>
      </w:r>
    </w:p>
    <w:p>
      <w:pPr>
        <w:spacing w:line="360" w:lineRule="auto"/>
        <w:rPr>
          <w:rFonts w:ascii="宋体" w:hAnsi="宋体"/>
          <w:spacing w:val="4"/>
          <w:sz w:val="24"/>
        </w:rPr>
      </w:pPr>
      <w:r>
        <w:rPr>
          <w:rFonts w:hint="eastAsia" w:ascii="宋体" w:hAnsi="宋体"/>
          <w:spacing w:val="4"/>
          <w:sz w:val="24"/>
        </w:rPr>
        <w:t>附件6：信息化项目校内分散采购承诺书</w:t>
      </w:r>
    </w:p>
    <w:p>
      <w:pPr>
        <w:spacing w:after="156" w:afterLines="50"/>
        <w:rPr>
          <w:sz w:val="52"/>
          <w:szCs w:val="52"/>
        </w:rPr>
      </w:pPr>
    </w:p>
    <w:p>
      <w:pPr>
        <w:rPr>
          <w:rFonts w:ascii="宋体" w:hAnsi="宋体"/>
          <w:szCs w:val="21"/>
        </w:rPr>
      </w:pPr>
      <w:bookmarkStart w:id="13" w:name="_Toc2461"/>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
      <w:pPr>
        <w:rPr>
          <w:rFonts w:ascii="宋体" w:hAnsi="宋体"/>
          <w:szCs w:val="21"/>
        </w:rPr>
      </w:pPr>
    </w:p>
    <w:p>
      <w:pPr>
        <w:rPr>
          <w:rFonts w:ascii="宋体" w:hAnsi="宋体"/>
          <w:szCs w:val="21"/>
        </w:rPr>
      </w:pPr>
    </w:p>
    <w:p>
      <w:pPr>
        <w:rPr>
          <w:rFonts w:ascii="宋体" w:hAnsi="宋体"/>
          <w:szCs w:val="21"/>
        </w:rPr>
      </w:pPr>
      <w:r>
        <w:rPr>
          <w:rFonts w:ascii="宋体" w:hAnsi="宋体"/>
          <w:szCs w:val="21"/>
        </w:rPr>
        <w:br w:type="page"/>
      </w:r>
    </w:p>
    <w:p>
      <w:pPr>
        <w:pStyle w:val="4"/>
        <w:spacing w:before="0" w:after="0" w:line="360" w:lineRule="auto"/>
        <w:rPr>
          <w:rStyle w:val="32"/>
          <w:rFonts w:ascii="宋体" w:hAnsi="宋体" w:eastAsia="宋体" w:cs="宋体"/>
          <w:b w:val="0"/>
          <w:bCs w:val="0"/>
          <w:sz w:val="24"/>
          <w:szCs w:val="24"/>
        </w:rPr>
      </w:pPr>
      <w:r>
        <w:rPr>
          <w:rFonts w:hint="eastAsia" w:ascii="宋体" w:hAnsi="宋体" w:eastAsia="宋体" w:cs="宋体"/>
          <w:b w:val="0"/>
          <w:sz w:val="24"/>
          <w:szCs w:val="24"/>
        </w:rPr>
        <w:t>附件1：报名投标确认函</w:t>
      </w:r>
      <w:bookmarkEnd w:id="13"/>
    </w:p>
    <w:p>
      <w:pPr>
        <w:spacing w:before="312" w:beforeLines="100" w:after="312" w:afterLines="100" w:line="360" w:lineRule="auto"/>
        <w:jc w:val="center"/>
        <w:rPr>
          <w:rFonts w:ascii="宋体" w:hAnsi="宋体"/>
          <w:sz w:val="48"/>
          <w:szCs w:val="48"/>
        </w:rPr>
      </w:pPr>
      <w:r>
        <w:rPr>
          <w:rFonts w:hint="eastAsia" w:ascii="宋体" w:hAnsi="宋体"/>
          <w:sz w:val="48"/>
          <w:szCs w:val="48"/>
        </w:rPr>
        <w:t>报名投标确认函</w:t>
      </w:r>
    </w:p>
    <w:p>
      <w:pPr>
        <w:spacing w:line="360" w:lineRule="auto"/>
        <w:rPr>
          <w:sz w:val="24"/>
        </w:rPr>
      </w:pPr>
      <w:bookmarkStart w:id="14" w:name="_Hlk70323276"/>
      <w:r>
        <w:rPr>
          <w:rFonts w:hint="eastAsia"/>
          <w:sz w:val="24"/>
        </w:rPr>
        <w:t>江南大学</w:t>
      </w:r>
      <w:r>
        <w:rPr>
          <w:rFonts w:hint="eastAsia" w:ascii="宋体" w:hAnsi="宋体" w:cs="宋体"/>
          <w:kern w:val="0"/>
          <w:sz w:val="24"/>
        </w:rPr>
        <w:t>信息化建设管理处</w:t>
      </w:r>
      <w:r>
        <w:rPr>
          <w:rFonts w:hint="eastAsia"/>
          <w:sz w:val="24"/>
        </w:rPr>
        <w:t>（</w:t>
      </w:r>
      <w:r>
        <w:rPr>
          <w:sz w:val="24"/>
        </w:rPr>
        <w:t>0510-85</w:t>
      </w:r>
      <w:r>
        <w:rPr>
          <w:rFonts w:hint="eastAsia"/>
          <w:sz w:val="24"/>
          <w:lang w:val="en-US" w:eastAsia="zh-CN"/>
        </w:rPr>
        <w:t>326800</w:t>
      </w:r>
      <w:r>
        <w:rPr>
          <w:rFonts w:hint="eastAsia"/>
          <w:sz w:val="24"/>
        </w:rPr>
        <w:t>）：</w:t>
      </w:r>
    </w:p>
    <w:p>
      <w:pPr>
        <w:spacing w:line="360" w:lineRule="auto"/>
        <w:ind w:firstLine="480" w:firstLineChars="200"/>
        <w:rPr>
          <w:sz w:val="24"/>
        </w:rPr>
      </w:pPr>
      <w:r>
        <w:rPr>
          <w:rFonts w:hint="eastAsia"/>
          <w:sz w:val="24"/>
        </w:rPr>
        <w:t>我公司完全符合</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项目（项目编号</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）采购公告中对投标人资格条件的要求，</w:t>
      </w:r>
      <w:r>
        <w:rPr>
          <w:rFonts w:hint="eastAsia" w:ascii="宋体" w:hAnsi="宋体"/>
          <w:sz w:val="24"/>
        </w:rPr>
        <w:t>自愿报名并按时参加你单位的采购活动。</w:t>
      </w:r>
    </w:p>
    <w:p>
      <w:pPr>
        <w:spacing w:line="360" w:lineRule="auto"/>
        <w:ind w:firstLine="480" w:firstLineChars="200"/>
        <w:rPr>
          <w:sz w:val="24"/>
        </w:rPr>
      </w:pPr>
    </w:p>
    <w:p>
      <w:pPr>
        <w:spacing w:after="156" w:afterLines="50" w:line="360" w:lineRule="auto"/>
        <w:jc w:val="center"/>
        <w:rPr>
          <w:rFonts w:ascii="宋体" w:hAnsi="宋体"/>
          <w:b/>
          <w:sz w:val="36"/>
          <w:szCs w:val="36"/>
        </w:rPr>
      </w:pPr>
      <w:r>
        <w:rPr>
          <w:rFonts w:hint="eastAsia" w:ascii="宋体" w:hAnsi="宋体"/>
          <w:b/>
          <w:sz w:val="36"/>
          <w:szCs w:val="36"/>
        </w:rPr>
        <w:t>投标相关信息</w:t>
      </w:r>
    </w:p>
    <w:tbl>
      <w:tblPr>
        <w:tblStyle w:val="17"/>
        <w:tblW w:w="9521" w:type="dxa"/>
        <w:jc w:val="center"/>
        <w:tblLayout w:type="autofit"/>
        <w:tblCellMar>
          <w:top w:w="0" w:type="dxa"/>
          <w:left w:w="108" w:type="dxa"/>
          <w:bottom w:w="0" w:type="dxa"/>
          <w:right w:w="108" w:type="dxa"/>
        </w:tblCellMar>
      </w:tblPr>
      <w:tblGrid>
        <w:gridCol w:w="2182"/>
        <w:gridCol w:w="3129"/>
        <w:gridCol w:w="1763"/>
        <w:gridCol w:w="2447"/>
      </w:tblGrid>
      <w:tr>
        <w:tblPrEx>
          <w:tblCellMar>
            <w:top w:w="0" w:type="dxa"/>
            <w:left w:w="108" w:type="dxa"/>
            <w:bottom w:w="0" w:type="dxa"/>
            <w:right w:w="108" w:type="dxa"/>
          </w:tblCellMar>
        </w:tblPrEx>
        <w:trPr>
          <w:trHeight w:val="695" w:hRule="atLeast"/>
          <w:jc w:val="center"/>
        </w:trPr>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采购项目名称</w:t>
            </w:r>
          </w:p>
        </w:tc>
        <w:tc>
          <w:tcPr>
            <w:tcW w:w="3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采购项目编号</w:t>
            </w:r>
          </w:p>
        </w:tc>
        <w:tc>
          <w:tcPr>
            <w:tcW w:w="24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95" w:hRule="atLeast"/>
          <w:jc w:val="center"/>
        </w:trPr>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供应商名称</w:t>
            </w:r>
          </w:p>
        </w:tc>
        <w:tc>
          <w:tcPr>
            <w:tcW w:w="3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包号（如有）</w:t>
            </w:r>
          </w:p>
        </w:tc>
        <w:tc>
          <w:tcPr>
            <w:tcW w:w="24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95" w:hRule="atLeast"/>
          <w:jc w:val="center"/>
        </w:trPr>
        <w:tc>
          <w:tcPr>
            <w:tcW w:w="21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供应商的社会统一信用代码</w:t>
            </w:r>
          </w:p>
        </w:tc>
        <w:tc>
          <w:tcPr>
            <w:tcW w:w="733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695" w:hRule="atLeast"/>
          <w:jc w:val="center"/>
        </w:trPr>
        <w:tc>
          <w:tcPr>
            <w:tcW w:w="218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供应商被授权人</w:t>
            </w:r>
          </w:p>
        </w:tc>
        <w:tc>
          <w:tcPr>
            <w:tcW w:w="312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6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手机号</w:t>
            </w:r>
          </w:p>
        </w:tc>
        <w:tc>
          <w:tcPr>
            <w:tcW w:w="24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695" w:hRule="atLeast"/>
          <w:jc w:val="center"/>
        </w:trPr>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通信地址</w:t>
            </w:r>
          </w:p>
        </w:tc>
        <w:tc>
          <w:tcPr>
            <w:tcW w:w="31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7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lang w:eastAsia="zh-CN"/>
              </w:rPr>
              <w:t>e</w:t>
            </w:r>
            <w:r>
              <w:rPr>
                <w:rFonts w:hint="eastAsia" w:ascii="宋体" w:hAnsi="宋体" w:cs="宋体"/>
                <w:kern w:val="0"/>
                <w:sz w:val="24"/>
              </w:rPr>
              <w:t>-mail</w:t>
            </w:r>
          </w:p>
        </w:tc>
        <w:tc>
          <w:tcPr>
            <w:tcW w:w="24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83" w:hRule="atLeast"/>
          <w:jc w:val="center"/>
        </w:trPr>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投标文件递交方式</w:t>
            </w:r>
          </w:p>
        </w:tc>
        <w:tc>
          <w:tcPr>
            <w:tcW w:w="733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cs="宋体" w:eastAsiaTheme="minorEastAsia"/>
                <w:color w:val="000000" w:themeColor="text1"/>
                <w:kern w:val="0"/>
                <w:sz w:val="22"/>
                <w:szCs w:val="22"/>
                <w:lang w:val="en-US" w:eastAsia="zh-CN"/>
                <w14:textFill>
                  <w14:solidFill>
                    <w14:schemeClr w14:val="tx1"/>
                  </w14:solidFill>
                </w14:textFill>
              </w:rPr>
            </w:pPr>
            <w:bookmarkStart w:id="21" w:name="_GoBack"/>
            <w:bookmarkEnd w:id="21"/>
            <w:r>
              <w:rPr>
                <w:rFonts w:hint="eastAsia" w:ascii="宋体" w:hAnsi="宋体" w:cs="宋体"/>
                <w:color w:val="000000" w:themeColor="text1"/>
                <w:kern w:val="0"/>
                <w:sz w:val="36"/>
                <w:szCs w:val="36"/>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直接送至</w:t>
            </w:r>
            <w:r>
              <w:rPr>
                <w:rFonts w:hint="eastAsia" w:ascii="宋体" w:hAnsi="宋体" w:cs="宋体"/>
                <w:color w:val="000000" w:themeColor="text1"/>
                <w:kern w:val="0"/>
                <w:sz w:val="22"/>
                <w:szCs w:val="22"/>
                <w:lang w:val="en-US" w:eastAsia="zh-CN"/>
                <w14:textFill>
                  <w14:solidFill>
                    <w14:schemeClr w14:val="tx1"/>
                  </w14:solidFill>
                </w14:textFill>
              </w:rPr>
              <w:t>谈判现场</w:t>
            </w:r>
          </w:p>
        </w:tc>
      </w:tr>
    </w:tbl>
    <w:p>
      <w:pPr>
        <w:spacing w:before="156" w:beforeLines="50" w:after="156" w:afterLines="50" w:line="360" w:lineRule="auto"/>
        <w:ind w:firstLine="6840" w:firstLineChars="285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pPr>
        <w:spacing w:line="360" w:lineRule="auto"/>
        <w:ind w:firstLine="480" w:firstLineChars="200"/>
        <w:jc w:val="left"/>
        <w:rPr>
          <w:rFonts w:ascii="宋体" w:hAnsi="宋体"/>
          <w:sz w:val="24"/>
        </w:rPr>
      </w:pPr>
      <w:r>
        <w:rPr>
          <w:rFonts w:hint="eastAsia" w:ascii="宋体" w:hAnsi="宋体"/>
          <w:sz w:val="24"/>
        </w:rPr>
        <w:t>注：本报名确认函请报名单位填写有关信息，并用“采购项目编号+供应商名称”作文件名保存，</w:t>
      </w:r>
      <w:r>
        <w:fldChar w:fldCharType="begin"/>
      </w:r>
      <w:r>
        <w:instrText xml:space="preserve"> HYPERLINK "mailto:发送至cgzb@jiangnan.edu.cn" </w:instrText>
      </w:r>
      <w:r>
        <w:fldChar w:fldCharType="separate"/>
      </w:r>
      <w:r>
        <w:rPr>
          <w:rStyle w:val="23"/>
          <w:rFonts w:hint="eastAsia" w:ascii="宋体" w:hAnsi="宋体"/>
          <w:color w:val="auto"/>
          <w:sz w:val="24"/>
        </w:rPr>
        <w:t>发送至</w:t>
      </w:r>
      <w:r>
        <w:rPr>
          <w:rFonts w:hint="eastAsia" w:ascii="宋体" w:hAnsi="宋体" w:cs="宋体"/>
          <w:sz w:val="24"/>
          <w:u w:val="single"/>
        </w:rPr>
        <w:t>xxhxmcg@jiangnan.</w:t>
      </w:r>
      <w:r>
        <w:rPr>
          <w:rFonts w:hint="eastAsia" w:ascii="宋体" w:hAnsi="宋体" w:cs="宋体"/>
          <w:sz w:val="24"/>
          <w:u w:val="single"/>
          <w:lang w:eastAsia="zh-CN"/>
        </w:rPr>
        <w:t>e</w:t>
      </w:r>
      <w:r>
        <w:rPr>
          <w:rFonts w:hint="eastAsia" w:ascii="宋体" w:hAnsi="宋体" w:cs="宋体"/>
          <w:sz w:val="24"/>
          <w:u w:val="single"/>
        </w:rPr>
        <w:t>du.cn</w:t>
      </w:r>
      <w:r>
        <w:rPr>
          <w:rFonts w:hint="eastAsia" w:ascii="宋体" w:hAnsi="宋体" w:cs="宋体"/>
          <w:sz w:val="24"/>
          <w:u w:val="single"/>
        </w:rPr>
        <w:fldChar w:fldCharType="end"/>
      </w:r>
      <w:r>
        <w:rPr>
          <w:rFonts w:hint="eastAsia" w:ascii="宋体" w:hAnsi="宋体"/>
          <w:sz w:val="24"/>
        </w:rPr>
        <w:t>。</w:t>
      </w:r>
    </w:p>
    <w:p>
      <w:pPr>
        <w:spacing w:line="360" w:lineRule="auto"/>
        <w:jc w:val="left"/>
        <w:rPr>
          <w:rFonts w:ascii="宋体" w:hAnsi="宋体"/>
          <w:spacing w:val="2"/>
          <w:sz w:val="24"/>
        </w:rPr>
      </w:pPr>
    </w:p>
    <w:p>
      <w:pPr>
        <w:spacing w:line="360" w:lineRule="auto"/>
        <w:ind w:firstLine="488" w:firstLineChars="200"/>
        <w:jc w:val="left"/>
        <w:rPr>
          <w:rFonts w:ascii="宋体" w:hAnsi="宋体"/>
        </w:rPr>
      </w:pPr>
      <w:r>
        <w:rPr>
          <w:rFonts w:hint="eastAsia" w:ascii="宋体" w:hAnsi="宋体"/>
          <w:spacing w:val="2"/>
          <w:sz w:val="24"/>
        </w:rPr>
        <w:t>本</w:t>
      </w:r>
      <w:r>
        <w:rPr>
          <w:rFonts w:hint="eastAsia" w:ascii="宋体" w:hAnsi="宋体"/>
          <w:sz w:val="24"/>
        </w:rPr>
        <w:t>确认函不需装入投标文件中。</w:t>
      </w:r>
    </w:p>
    <w:bookmarkEnd w:id="14"/>
    <w:p>
      <w:pPr>
        <w:spacing w:after="156" w:afterLines="50"/>
        <w:rPr>
          <w:sz w:val="52"/>
          <w:szCs w:val="52"/>
        </w:rPr>
      </w:pPr>
    </w:p>
    <w:p>
      <w:pPr>
        <w:pStyle w:val="4"/>
        <w:spacing w:before="0" w:after="0" w:line="360" w:lineRule="auto"/>
        <w:rPr>
          <w:rFonts w:ascii="宋体" w:hAnsi="宋体"/>
          <w:b w:val="0"/>
          <w:sz w:val="21"/>
          <w:szCs w:val="21"/>
        </w:rPr>
      </w:pPr>
      <w:bookmarkStart w:id="15" w:name="_Toc24606"/>
      <w:bookmarkStart w:id="16" w:name="_Toc511743426"/>
    </w:p>
    <w:p>
      <w:pPr>
        <w:rPr>
          <w:rFonts w:ascii="宋体" w:hAnsi="宋体"/>
          <w:szCs w:val="21"/>
        </w:rPr>
      </w:pPr>
      <w:r>
        <w:rPr>
          <w:rFonts w:ascii="宋体" w:hAnsi="宋体"/>
          <w:szCs w:val="21"/>
        </w:rPr>
        <w:br w:type="page"/>
      </w:r>
    </w:p>
    <w:p>
      <w:pPr>
        <w:pStyle w:val="4"/>
        <w:spacing w:before="0" w:after="0" w:line="360" w:lineRule="auto"/>
        <w:rPr>
          <w:rFonts w:ascii="宋体" w:hAnsi="宋体"/>
          <w:b w:val="0"/>
          <w:sz w:val="24"/>
          <w:szCs w:val="24"/>
        </w:rPr>
      </w:pPr>
      <w:r>
        <w:rPr>
          <w:rFonts w:hint="eastAsia" w:ascii="宋体" w:hAnsi="宋体"/>
          <w:b w:val="0"/>
          <w:sz w:val="24"/>
          <w:szCs w:val="24"/>
        </w:rPr>
        <w:t>附件2：投标函</w:t>
      </w:r>
      <w:bookmarkEnd w:id="15"/>
      <w:bookmarkEnd w:id="16"/>
    </w:p>
    <w:p>
      <w:pPr>
        <w:spacing w:after="156" w:afterLines="50"/>
        <w:jc w:val="center"/>
        <w:rPr>
          <w:rFonts w:ascii="宋体" w:hAnsi="宋体" w:cs="宋体"/>
          <w:sz w:val="52"/>
          <w:szCs w:val="52"/>
        </w:rPr>
      </w:pPr>
      <w:r>
        <w:rPr>
          <w:rFonts w:hint="eastAsia" w:ascii="宋体" w:hAnsi="宋体" w:cs="宋体"/>
          <w:sz w:val="52"/>
          <w:szCs w:val="52"/>
        </w:rPr>
        <w:t>投   标   函</w:t>
      </w:r>
    </w:p>
    <w:p>
      <w:pPr>
        <w:spacing w:line="360" w:lineRule="auto"/>
        <w:rPr>
          <w:rFonts w:ascii="宋体" w:hAnsi="宋体" w:cs="宋体"/>
          <w:sz w:val="24"/>
        </w:rPr>
      </w:pPr>
      <w:r>
        <w:rPr>
          <w:rFonts w:hint="eastAsia" w:ascii="宋体" w:hAnsi="宋体" w:cs="宋体"/>
          <w:sz w:val="24"/>
        </w:rPr>
        <w:t>江南大学</w:t>
      </w:r>
      <w:r>
        <w:rPr>
          <w:rFonts w:hint="eastAsia" w:ascii="宋体" w:hAnsi="宋体" w:cs="宋体"/>
          <w:kern w:val="0"/>
          <w:sz w:val="24"/>
        </w:rPr>
        <w:t>信息化建设管理处</w:t>
      </w:r>
      <w:r>
        <w:rPr>
          <w:rFonts w:hint="eastAsia" w:ascii="宋体" w:hAnsi="宋体" w:cs="宋体"/>
          <w:sz w:val="24"/>
        </w:rPr>
        <w:t>：</w:t>
      </w:r>
    </w:p>
    <w:p>
      <w:pPr>
        <w:spacing w:line="360" w:lineRule="auto"/>
        <w:ind w:left="1" w:firstLine="564" w:firstLineChars="235"/>
        <w:rPr>
          <w:rFonts w:ascii="宋体" w:hAnsi="宋体" w:cs="宋体"/>
          <w:sz w:val="24"/>
        </w:rPr>
      </w:pPr>
      <w:r>
        <w:rPr>
          <w:rFonts w:hint="eastAsia" w:ascii="宋体" w:hAnsi="宋体" w:cs="宋体"/>
          <w:sz w:val="24"/>
        </w:rPr>
        <w:t>我方经仔细阅读研究</w:t>
      </w:r>
      <w:r>
        <w:rPr>
          <w:rFonts w:hint="eastAsia" w:ascii="宋体" w:hAnsi="宋体" w:cs="宋体"/>
          <w:sz w:val="24"/>
          <w:u w:val="single"/>
        </w:rPr>
        <w:t xml:space="preserve">              </w:t>
      </w:r>
      <w:r>
        <w:rPr>
          <w:rFonts w:hint="eastAsia" w:ascii="宋体" w:hAnsi="宋体" w:cs="宋体"/>
          <w:sz w:val="24"/>
        </w:rPr>
        <w:t>项目招标文件（项目编号</w:t>
      </w:r>
      <w:r>
        <w:rPr>
          <w:rFonts w:hint="eastAsia" w:ascii="宋体" w:hAnsi="宋体" w:cs="宋体"/>
          <w:sz w:val="24"/>
          <w:u w:val="single"/>
        </w:rPr>
        <w:t xml:space="preserve">           </w:t>
      </w:r>
      <w:r>
        <w:rPr>
          <w:rFonts w:hint="eastAsia" w:ascii="宋体" w:hAnsi="宋体" w:cs="宋体"/>
          <w:sz w:val="24"/>
        </w:rPr>
        <w:t>），已完全了解采购文件中的所有条款及要求，决定参加投标，同时作出如下承诺：</w:t>
      </w:r>
    </w:p>
    <w:p>
      <w:pPr>
        <w:spacing w:line="360" w:lineRule="auto"/>
        <w:ind w:firstLine="480" w:firstLineChars="200"/>
        <w:rPr>
          <w:rFonts w:ascii="宋体" w:hAnsi="宋体" w:cs="宋体"/>
          <w:sz w:val="24"/>
        </w:rPr>
      </w:pPr>
      <w:r>
        <w:rPr>
          <w:rFonts w:hint="eastAsia" w:ascii="宋体" w:hAnsi="宋体" w:cs="宋体"/>
          <w:sz w:val="24"/>
        </w:rPr>
        <w:t>1、我方愿针对本次项目进行投标，投标文件中所有关于投标资格的文件、证明、陈述均是真实的、准确的。若有违背，我方愿意承担由此而产生的一切后果。</w:t>
      </w:r>
    </w:p>
    <w:p>
      <w:pPr>
        <w:spacing w:line="360" w:lineRule="auto"/>
        <w:ind w:firstLine="480" w:firstLineChars="200"/>
        <w:rPr>
          <w:rFonts w:ascii="宋体" w:hAnsi="宋体" w:cs="宋体"/>
          <w:sz w:val="24"/>
        </w:rPr>
      </w:pPr>
      <w:r>
        <w:rPr>
          <w:rFonts w:hint="eastAsia" w:ascii="宋体" w:hAnsi="宋体" w:cs="宋体"/>
          <w:sz w:val="24"/>
        </w:rPr>
        <w:t>2、我方在参加本招标项目前三年内在生产经营活动中没有重大违法记录。</w:t>
      </w:r>
    </w:p>
    <w:p>
      <w:pPr>
        <w:spacing w:line="360" w:lineRule="auto"/>
        <w:ind w:firstLine="480" w:firstLineChars="200"/>
        <w:rPr>
          <w:rFonts w:ascii="宋体" w:hAnsi="宋体" w:cs="宋体"/>
          <w:sz w:val="24"/>
        </w:rPr>
      </w:pPr>
      <w:r>
        <w:rPr>
          <w:rFonts w:hint="eastAsia" w:ascii="宋体" w:hAnsi="宋体" w:cs="宋体"/>
          <w:sz w:val="24"/>
        </w:rPr>
        <w:t>3、我方与本采购项目及该项目相关人员之间均不存在可能影响招标公正性的任何利害关系。</w:t>
      </w:r>
    </w:p>
    <w:p>
      <w:pPr>
        <w:tabs>
          <w:tab w:val="left" w:pos="420"/>
          <w:tab w:val="left" w:pos="525"/>
          <w:tab w:val="left" w:pos="945"/>
        </w:tabs>
        <w:spacing w:line="360" w:lineRule="auto"/>
        <w:ind w:right="235" w:rightChars="112" w:firstLine="480" w:firstLineChars="200"/>
        <w:rPr>
          <w:rFonts w:ascii="宋体" w:hAnsi="宋体" w:cs="宋体"/>
          <w:bCs/>
          <w:sz w:val="24"/>
        </w:rPr>
      </w:pPr>
      <w:r>
        <w:rPr>
          <w:rFonts w:hint="eastAsia" w:ascii="宋体" w:hAnsi="宋体" w:cs="宋体"/>
          <w:sz w:val="24"/>
        </w:rPr>
        <w:t>4、愿按采购文件</w:t>
      </w:r>
      <w:r>
        <w:rPr>
          <w:rFonts w:hint="eastAsia" w:ascii="宋体" w:hAnsi="宋体" w:cs="宋体"/>
          <w:bCs/>
          <w:sz w:val="24"/>
        </w:rPr>
        <w:t>的一切要求，提供本项目的报价，报价见</w:t>
      </w:r>
      <w:r>
        <w:rPr>
          <w:rFonts w:hint="eastAsia" w:ascii="宋体" w:hAnsi="宋体"/>
          <w:sz w:val="24"/>
        </w:rPr>
        <w:t>《报价单》</w:t>
      </w:r>
      <w:r>
        <w:rPr>
          <w:rFonts w:hint="eastAsia" w:ascii="宋体" w:hAnsi="宋体" w:cs="宋体"/>
          <w:bCs/>
          <w:sz w:val="24"/>
        </w:rPr>
        <w:t>。</w:t>
      </w:r>
    </w:p>
    <w:p>
      <w:pPr>
        <w:spacing w:line="360" w:lineRule="auto"/>
        <w:ind w:firstLine="480" w:firstLineChars="200"/>
        <w:rPr>
          <w:rFonts w:ascii="宋体" w:hAnsi="宋体" w:cs="宋体"/>
          <w:sz w:val="24"/>
        </w:rPr>
      </w:pPr>
      <w:r>
        <w:rPr>
          <w:rFonts w:hint="eastAsia" w:ascii="宋体" w:hAnsi="宋体" w:cs="宋体"/>
          <w:sz w:val="24"/>
        </w:rPr>
        <w:t>5、接受采购文件的所有条款、条件和</w:t>
      </w:r>
      <w:r>
        <w:rPr>
          <w:rFonts w:hint="eastAsia" w:ascii="宋体" w:hAnsi="宋体" w:cs="宋体"/>
          <w:bCs/>
          <w:sz w:val="24"/>
        </w:rPr>
        <w:t>规定</w:t>
      </w:r>
      <w:r>
        <w:rPr>
          <w:rFonts w:hint="eastAsia" w:ascii="宋体" w:hAnsi="宋体" w:cs="宋体"/>
          <w:sz w:val="24"/>
        </w:rPr>
        <w:t>，</w:t>
      </w:r>
      <w:r>
        <w:rPr>
          <w:rFonts w:hint="eastAsia" w:ascii="宋体" w:hAnsi="宋体" w:cs="宋体"/>
          <w:bCs/>
          <w:sz w:val="24"/>
        </w:rPr>
        <w:t>放弃对采购文件提出质疑的权利。</w:t>
      </w:r>
    </w:p>
    <w:p>
      <w:pPr>
        <w:spacing w:line="360" w:lineRule="auto"/>
        <w:ind w:firstLine="480" w:firstLineChars="200"/>
        <w:rPr>
          <w:rFonts w:ascii="宋体" w:hAnsi="宋体" w:cs="宋体"/>
          <w:sz w:val="24"/>
        </w:rPr>
      </w:pPr>
      <w:r>
        <w:rPr>
          <w:rFonts w:hint="eastAsia" w:ascii="宋体" w:hAnsi="宋体" w:cs="宋体"/>
          <w:sz w:val="24"/>
        </w:rPr>
        <w:t>6、同意按照采购文件的要求提供所有资料、数据或信息。</w:t>
      </w:r>
    </w:p>
    <w:p>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bCs/>
          <w:sz w:val="24"/>
        </w:rPr>
        <w:t>认可</w:t>
      </w:r>
      <w:r>
        <w:rPr>
          <w:rFonts w:hint="eastAsia" w:ascii="宋体" w:hAnsi="宋体" w:cs="宋体"/>
          <w:sz w:val="24"/>
        </w:rPr>
        <w:t>贵方有权决定中标人或否决所有投标，并理解最低报价只是中标的重要条件，贵方没有义务必须接受最低报价的投标。</w:t>
      </w:r>
    </w:p>
    <w:p>
      <w:pPr>
        <w:spacing w:line="360" w:lineRule="auto"/>
        <w:ind w:firstLine="480" w:firstLineChars="200"/>
        <w:rPr>
          <w:rFonts w:ascii="宋体" w:hAnsi="宋体" w:cs="宋体"/>
          <w:sz w:val="24"/>
        </w:rPr>
      </w:pPr>
      <w:r>
        <w:rPr>
          <w:rFonts w:hint="eastAsia" w:ascii="宋体" w:hAnsi="宋体" w:cs="宋体"/>
          <w:sz w:val="24"/>
        </w:rPr>
        <w:t>8、我方如中标，将保证遵守招标文件对投标人的所有要求和规定，履行自己在投标文件（含修改书）中承诺的全部责任和义务。</w:t>
      </w:r>
    </w:p>
    <w:p>
      <w:pPr>
        <w:spacing w:line="360" w:lineRule="auto"/>
        <w:ind w:firstLine="480" w:firstLineChars="200"/>
        <w:rPr>
          <w:rFonts w:ascii="宋体" w:hAnsi="宋体" w:cs="宋体"/>
          <w:sz w:val="24"/>
        </w:rPr>
      </w:pPr>
      <w:r>
        <w:rPr>
          <w:rFonts w:hint="eastAsia" w:ascii="宋体" w:hAnsi="宋体" w:cs="宋体"/>
          <w:sz w:val="24"/>
        </w:rPr>
        <w:t>9、本投标文件的有效期为投标截止日后90天内，如我方中标，有效期将延至合同有效期终止日为止。</w:t>
      </w:r>
    </w:p>
    <w:p>
      <w:pPr>
        <w:spacing w:line="360" w:lineRule="auto"/>
        <w:ind w:firstLine="480" w:firstLineChars="200"/>
        <w:rPr>
          <w:rFonts w:ascii="宋体" w:hAnsi="宋体" w:cs="宋体"/>
          <w:sz w:val="24"/>
        </w:rPr>
      </w:pPr>
      <w:r>
        <w:rPr>
          <w:rFonts w:hint="eastAsia" w:ascii="宋体" w:hAnsi="宋体" w:cs="宋体"/>
          <w:sz w:val="24"/>
        </w:rPr>
        <w:t>10、与本次招投标有关的事宜请按以下信息联系：</w:t>
      </w:r>
    </w:p>
    <w:p>
      <w:pPr>
        <w:spacing w:line="360" w:lineRule="auto"/>
        <w:ind w:firstLine="480" w:firstLineChars="200"/>
        <w:rPr>
          <w:rFonts w:ascii="宋体" w:hAnsi="宋体" w:cs="宋体"/>
          <w:sz w:val="24"/>
        </w:rPr>
      </w:pPr>
    </w:p>
    <w:p>
      <w:pPr>
        <w:spacing w:line="48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pPr>
        <w:spacing w:line="480" w:lineRule="auto"/>
        <w:rPr>
          <w:rFonts w:ascii="宋体" w:hAnsi="宋体" w:cs="宋体"/>
          <w:sz w:val="24"/>
          <w:u w:val="single"/>
        </w:rPr>
      </w:pPr>
      <w:r>
        <w:rPr>
          <w:rFonts w:hint="eastAsia" w:ascii="宋体" w:hAnsi="宋体" w:cs="宋体"/>
          <w:sz w:val="24"/>
        </w:rPr>
        <w:t>法定代表人或被授权人（签字或盖章）：</w:t>
      </w:r>
      <w:r>
        <w:rPr>
          <w:rFonts w:hint="eastAsia" w:ascii="宋体" w:hAnsi="宋体" w:cs="宋体"/>
          <w:sz w:val="24"/>
          <w:u w:val="single"/>
        </w:rPr>
        <w:t xml:space="preserve">                                       </w:t>
      </w:r>
    </w:p>
    <w:p>
      <w:pPr>
        <w:spacing w:line="480" w:lineRule="auto"/>
        <w:rPr>
          <w:rFonts w:ascii="宋体" w:hAnsi="宋体" w:cs="宋体"/>
          <w:sz w:val="24"/>
          <w:u w:val="single"/>
        </w:rPr>
      </w:pPr>
      <w:r>
        <w:rPr>
          <w:rFonts w:hint="eastAsia" w:ascii="宋体" w:hAnsi="宋体" w:cs="宋体"/>
          <w:sz w:val="24"/>
        </w:rPr>
        <w:t>手机号：</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e</w:t>
      </w:r>
      <w:r>
        <w:rPr>
          <w:rFonts w:hint="eastAsia" w:ascii="宋体" w:hAnsi="宋体" w:cs="宋体"/>
          <w:sz w:val="24"/>
        </w:rPr>
        <w:t xml:space="preserve">mail： </w:t>
      </w:r>
      <w:r>
        <w:rPr>
          <w:rFonts w:hint="eastAsia" w:ascii="宋体" w:hAnsi="宋体" w:cs="宋体"/>
          <w:sz w:val="24"/>
          <w:u w:val="single"/>
        </w:rPr>
        <w:t xml:space="preserve">                    </w:t>
      </w:r>
      <w:r>
        <w:rPr>
          <w:rFonts w:hint="eastAsia" w:ascii="宋体" w:hAnsi="宋体" w:cs="宋体"/>
          <w:sz w:val="24"/>
        </w:rPr>
        <w:t xml:space="preserve"> 日期：</w:t>
      </w:r>
      <w:r>
        <w:rPr>
          <w:rFonts w:hint="eastAsia" w:ascii="宋体" w:hAnsi="宋体" w:cs="宋体"/>
          <w:sz w:val="24"/>
          <w:u w:val="single"/>
        </w:rPr>
        <w:t xml:space="preserve">               </w:t>
      </w:r>
    </w:p>
    <w:bookmarkEnd w:id="12"/>
    <w:p>
      <w:pPr>
        <w:spacing w:line="360" w:lineRule="auto"/>
        <w:rPr>
          <w:rFonts w:ascii="宋体" w:hAnsi="宋体"/>
          <w:sz w:val="24"/>
          <w:u w:val="single"/>
        </w:rPr>
        <w:sectPr>
          <w:footerReference r:id="rId4" w:type="first"/>
          <w:footerReference r:id="rId3" w:type="default"/>
          <w:pgSz w:w="11906" w:h="16838"/>
          <w:pgMar w:top="1440" w:right="1418" w:bottom="1440" w:left="1644" w:header="851" w:footer="567" w:gutter="0"/>
          <w:pgNumType w:start="1"/>
          <w:cols w:space="425" w:num="1"/>
          <w:titlePg/>
          <w:docGrid w:type="lines" w:linePitch="312" w:charSpace="0"/>
        </w:sectPr>
      </w:pPr>
    </w:p>
    <w:p>
      <w:pPr>
        <w:pStyle w:val="4"/>
        <w:spacing w:before="0" w:after="0" w:line="360" w:lineRule="auto"/>
        <w:rPr>
          <w:rFonts w:asciiTheme="minorEastAsia" w:hAnsiTheme="minorEastAsia"/>
          <w:b w:val="0"/>
          <w:bCs w:val="0"/>
          <w:sz w:val="24"/>
          <w:szCs w:val="24"/>
        </w:rPr>
      </w:pPr>
      <w:r>
        <w:rPr>
          <w:rFonts w:hint="eastAsia" w:asciiTheme="minorEastAsia" w:hAnsiTheme="minorEastAsia"/>
          <w:b w:val="0"/>
          <w:bCs w:val="0"/>
          <w:sz w:val="24"/>
          <w:szCs w:val="24"/>
        </w:rPr>
        <w:t>附件3：清单及分项报价表</w:t>
      </w:r>
    </w:p>
    <w:p>
      <w:pPr>
        <w:spacing w:before="312" w:beforeLines="100" w:after="312" w:afterLines="100" w:line="360" w:lineRule="auto"/>
        <w:jc w:val="center"/>
        <w:rPr>
          <w:rFonts w:ascii="宋体" w:hAnsi="宋体"/>
          <w:sz w:val="48"/>
          <w:szCs w:val="48"/>
        </w:rPr>
      </w:pPr>
      <w:r>
        <w:rPr>
          <w:rFonts w:hint="eastAsia" w:ascii="宋体" w:hAnsi="宋体"/>
          <w:sz w:val="48"/>
          <w:szCs w:val="48"/>
        </w:rPr>
        <w:t>项目清单及分项报价表</w:t>
      </w:r>
    </w:p>
    <w:p>
      <w:pPr>
        <w:snapToGrid w:val="0"/>
        <w:spacing w:line="360" w:lineRule="auto"/>
        <w:ind w:right="-350" w:rightChars="-167"/>
        <w:rPr>
          <w:rFonts w:asciiTheme="minorEastAsia" w:hAnsiTheme="minorEastAsia"/>
          <w:sz w:val="24"/>
          <w:u w:val="single"/>
        </w:rPr>
      </w:pPr>
      <w:r>
        <w:rPr>
          <w:rFonts w:hint="eastAsia" w:ascii="宋体" w:hAnsi="宋体"/>
          <w:sz w:val="24"/>
        </w:rPr>
        <w:t>采购</w:t>
      </w:r>
      <w:r>
        <w:rPr>
          <w:rFonts w:hint="eastAsia" w:asciiTheme="minorEastAsia" w:hAnsiTheme="minorEastAsia"/>
          <w:sz w:val="24"/>
        </w:rPr>
        <w:t>项目名称：</w:t>
      </w:r>
      <w:r>
        <w:rPr>
          <w:rFonts w:hint="eastAsia" w:asciiTheme="minorEastAsia" w:hAnsiTheme="minorEastAsia"/>
          <w:sz w:val="24"/>
          <w:u w:val="single"/>
        </w:rPr>
        <w:t xml:space="preserve">                            </w:t>
      </w:r>
      <w:r>
        <w:rPr>
          <w:rFonts w:hint="eastAsia" w:ascii="宋体" w:hAnsi="宋体"/>
          <w:sz w:val="24"/>
        </w:rPr>
        <w:t>采购</w:t>
      </w:r>
      <w:r>
        <w:rPr>
          <w:rFonts w:hint="eastAsia" w:asciiTheme="minorEastAsia" w:hAnsiTheme="minorEastAsia"/>
          <w:sz w:val="24"/>
        </w:rPr>
        <w:t>项目编号：</w:t>
      </w:r>
      <w:r>
        <w:rPr>
          <w:rFonts w:hint="eastAsia" w:asciiTheme="minorEastAsia" w:hAnsiTheme="minorEastAsia"/>
          <w:sz w:val="24"/>
          <w:u w:val="single"/>
        </w:rPr>
        <w:t xml:space="preserve">                       </w:t>
      </w:r>
      <w:r>
        <w:rPr>
          <w:rFonts w:hint="eastAsia" w:asciiTheme="minorEastAsia" w:hAnsiTheme="minorEastAsia"/>
          <w:sz w:val="24"/>
        </w:rPr>
        <w:t xml:space="preserve">              </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3889"/>
        <w:gridCol w:w="1510"/>
        <w:gridCol w:w="134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r>
              <w:rPr>
                <w:rFonts w:hint="eastAsia" w:asciiTheme="minorEastAsia" w:hAnsiTheme="minorEastAsia" w:eastAsiaTheme="minorEastAsia"/>
                <w:szCs w:val="24"/>
              </w:rPr>
              <w:t>序号</w:t>
            </w:r>
          </w:p>
        </w:tc>
        <w:tc>
          <w:tcPr>
            <w:tcW w:w="3889" w:type="dxa"/>
            <w:vAlign w:val="center"/>
          </w:tcPr>
          <w:p>
            <w:pPr>
              <w:pStyle w:val="10"/>
              <w:spacing w:line="240" w:lineRule="atLeast"/>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项目清单</w:t>
            </w:r>
          </w:p>
        </w:tc>
        <w:tc>
          <w:tcPr>
            <w:tcW w:w="1510" w:type="dxa"/>
            <w:vAlign w:val="center"/>
          </w:tcPr>
          <w:p>
            <w:pPr>
              <w:pStyle w:val="10"/>
              <w:spacing w:line="240" w:lineRule="atLeast"/>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数量或周期</w:t>
            </w:r>
          </w:p>
        </w:tc>
        <w:tc>
          <w:tcPr>
            <w:tcW w:w="1342" w:type="dxa"/>
            <w:vAlign w:val="center"/>
          </w:tcPr>
          <w:p>
            <w:pPr>
              <w:pStyle w:val="10"/>
              <w:spacing w:line="240" w:lineRule="atLeast"/>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单价（元）</w:t>
            </w:r>
          </w:p>
        </w:tc>
        <w:tc>
          <w:tcPr>
            <w:tcW w:w="1229" w:type="dxa"/>
            <w:vAlign w:val="center"/>
          </w:tcPr>
          <w:p>
            <w:pPr>
              <w:pStyle w:val="10"/>
              <w:spacing w:line="240" w:lineRule="atLeast"/>
              <w:jc w:val="center"/>
              <w:rPr>
                <w:rFonts w:asciiTheme="minorEastAsia" w:hAnsiTheme="minorEastAsia" w:eastAsiaTheme="minorEastAsia"/>
                <w:szCs w:val="24"/>
                <w:lang w:eastAsia="zh-CN"/>
              </w:rPr>
            </w:pPr>
            <w:r>
              <w:rPr>
                <w:rFonts w:hint="eastAsia" w:asciiTheme="minorEastAsia" w:hAnsiTheme="minorEastAsia" w:eastAsiaTheme="minorEastAsia"/>
                <w:szCs w:val="24"/>
                <w:lang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p>
        </w:tc>
        <w:tc>
          <w:tcPr>
            <w:tcW w:w="3889" w:type="dxa"/>
            <w:vAlign w:val="center"/>
          </w:tcPr>
          <w:p>
            <w:pPr>
              <w:pStyle w:val="10"/>
              <w:spacing w:line="240" w:lineRule="atLeast"/>
              <w:jc w:val="center"/>
              <w:rPr>
                <w:rFonts w:asciiTheme="minorEastAsia" w:hAnsiTheme="minorEastAsia" w:eastAsiaTheme="minorEastAsia"/>
                <w:szCs w:val="24"/>
              </w:rPr>
            </w:pPr>
          </w:p>
        </w:tc>
        <w:tc>
          <w:tcPr>
            <w:tcW w:w="1510" w:type="dxa"/>
            <w:vAlign w:val="center"/>
          </w:tcPr>
          <w:p>
            <w:pPr>
              <w:pStyle w:val="10"/>
              <w:spacing w:line="240" w:lineRule="atLeast"/>
              <w:jc w:val="center"/>
              <w:rPr>
                <w:rFonts w:asciiTheme="minorEastAsia" w:hAnsiTheme="minorEastAsia" w:eastAsiaTheme="minorEastAsia"/>
                <w:szCs w:val="24"/>
              </w:rPr>
            </w:pPr>
          </w:p>
        </w:tc>
        <w:tc>
          <w:tcPr>
            <w:tcW w:w="1342" w:type="dxa"/>
            <w:vAlign w:val="center"/>
          </w:tcPr>
          <w:p>
            <w:pPr>
              <w:pStyle w:val="10"/>
              <w:spacing w:line="360" w:lineRule="auto"/>
              <w:jc w:val="center"/>
              <w:rPr>
                <w:rFonts w:asciiTheme="minorEastAsia" w:hAnsiTheme="minorEastAsia" w:eastAsiaTheme="minorEastAsia"/>
                <w:szCs w:val="24"/>
              </w:rPr>
            </w:pPr>
          </w:p>
        </w:tc>
        <w:tc>
          <w:tcPr>
            <w:tcW w:w="1229" w:type="dxa"/>
            <w:vAlign w:val="center"/>
          </w:tcPr>
          <w:p>
            <w:pPr>
              <w:pStyle w:val="10"/>
              <w:spacing w:line="360" w:lineRule="auto"/>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p>
        </w:tc>
        <w:tc>
          <w:tcPr>
            <w:tcW w:w="3889" w:type="dxa"/>
            <w:vAlign w:val="center"/>
          </w:tcPr>
          <w:p>
            <w:pPr>
              <w:pStyle w:val="10"/>
              <w:spacing w:line="240" w:lineRule="atLeast"/>
              <w:jc w:val="center"/>
              <w:rPr>
                <w:rFonts w:asciiTheme="minorEastAsia" w:hAnsiTheme="minorEastAsia" w:eastAsiaTheme="minorEastAsia"/>
                <w:szCs w:val="24"/>
              </w:rPr>
            </w:pPr>
          </w:p>
        </w:tc>
        <w:tc>
          <w:tcPr>
            <w:tcW w:w="1510" w:type="dxa"/>
            <w:vAlign w:val="center"/>
          </w:tcPr>
          <w:p>
            <w:pPr>
              <w:pStyle w:val="10"/>
              <w:spacing w:line="240" w:lineRule="atLeast"/>
              <w:jc w:val="center"/>
              <w:rPr>
                <w:rFonts w:asciiTheme="minorEastAsia" w:hAnsiTheme="minorEastAsia" w:eastAsiaTheme="minorEastAsia"/>
                <w:szCs w:val="24"/>
              </w:rPr>
            </w:pPr>
          </w:p>
        </w:tc>
        <w:tc>
          <w:tcPr>
            <w:tcW w:w="1342" w:type="dxa"/>
            <w:vAlign w:val="center"/>
          </w:tcPr>
          <w:p>
            <w:pPr>
              <w:pStyle w:val="10"/>
              <w:spacing w:line="360" w:lineRule="auto"/>
              <w:jc w:val="center"/>
              <w:rPr>
                <w:rFonts w:asciiTheme="minorEastAsia" w:hAnsiTheme="minorEastAsia" w:eastAsiaTheme="minorEastAsia"/>
                <w:szCs w:val="24"/>
              </w:rPr>
            </w:pPr>
          </w:p>
        </w:tc>
        <w:tc>
          <w:tcPr>
            <w:tcW w:w="1229" w:type="dxa"/>
            <w:vAlign w:val="center"/>
          </w:tcPr>
          <w:p>
            <w:pPr>
              <w:pStyle w:val="10"/>
              <w:spacing w:line="360" w:lineRule="auto"/>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p>
        </w:tc>
        <w:tc>
          <w:tcPr>
            <w:tcW w:w="3889" w:type="dxa"/>
            <w:vAlign w:val="center"/>
          </w:tcPr>
          <w:p>
            <w:pPr>
              <w:pStyle w:val="10"/>
              <w:spacing w:line="240" w:lineRule="atLeast"/>
              <w:jc w:val="center"/>
              <w:rPr>
                <w:rFonts w:asciiTheme="minorEastAsia" w:hAnsiTheme="minorEastAsia" w:eastAsiaTheme="minorEastAsia"/>
                <w:szCs w:val="24"/>
              </w:rPr>
            </w:pPr>
          </w:p>
        </w:tc>
        <w:tc>
          <w:tcPr>
            <w:tcW w:w="1510" w:type="dxa"/>
            <w:vAlign w:val="center"/>
          </w:tcPr>
          <w:p>
            <w:pPr>
              <w:pStyle w:val="10"/>
              <w:spacing w:line="240" w:lineRule="atLeast"/>
              <w:jc w:val="center"/>
              <w:rPr>
                <w:rFonts w:asciiTheme="minorEastAsia" w:hAnsiTheme="minorEastAsia" w:eastAsiaTheme="minorEastAsia"/>
                <w:szCs w:val="24"/>
              </w:rPr>
            </w:pPr>
          </w:p>
        </w:tc>
        <w:tc>
          <w:tcPr>
            <w:tcW w:w="1342" w:type="dxa"/>
            <w:vAlign w:val="center"/>
          </w:tcPr>
          <w:p>
            <w:pPr>
              <w:pStyle w:val="10"/>
              <w:spacing w:line="360" w:lineRule="auto"/>
              <w:jc w:val="center"/>
              <w:rPr>
                <w:rFonts w:asciiTheme="minorEastAsia" w:hAnsiTheme="minorEastAsia" w:eastAsiaTheme="minorEastAsia"/>
                <w:szCs w:val="24"/>
              </w:rPr>
            </w:pPr>
          </w:p>
        </w:tc>
        <w:tc>
          <w:tcPr>
            <w:tcW w:w="1229" w:type="dxa"/>
            <w:vAlign w:val="center"/>
          </w:tcPr>
          <w:p>
            <w:pPr>
              <w:pStyle w:val="10"/>
              <w:spacing w:line="360" w:lineRule="auto"/>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p>
        </w:tc>
        <w:tc>
          <w:tcPr>
            <w:tcW w:w="3889" w:type="dxa"/>
            <w:vAlign w:val="center"/>
          </w:tcPr>
          <w:p>
            <w:pPr>
              <w:pStyle w:val="10"/>
              <w:spacing w:line="240" w:lineRule="atLeast"/>
              <w:jc w:val="center"/>
              <w:rPr>
                <w:rFonts w:asciiTheme="minorEastAsia" w:hAnsiTheme="minorEastAsia" w:eastAsiaTheme="minorEastAsia"/>
                <w:szCs w:val="24"/>
              </w:rPr>
            </w:pPr>
          </w:p>
        </w:tc>
        <w:tc>
          <w:tcPr>
            <w:tcW w:w="1510" w:type="dxa"/>
            <w:vAlign w:val="center"/>
          </w:tcPr>
          <w:p>
            <w:pPr>
              <w:pStyle w:val="10"/>
              <w:spacing w:line="240" w:lineRule="atLeast"/>
              <w:jc w:val="center"/>
              <w:rPr>
                <w:rFonts w:asciiTheme="minorEastAsia" w:hAnsiTheme="minorEastAsia" w:eastAsiaTheme="minorEastAsia"/>
                <w:szCs w:val="24"/>
              </w:rPr>
            </w:pPr>
          </w:p>
        </w:tc>
        <w:tc>
          <w:tcPr>
            <w:tcW w:w="1342" w:type="dxa"/>
            <w:vAlign w:val="center"/>
          </w:tcPr>
          <w:p>
            <w:pPr>
              <w:pStyle w:val="10"/>
              <w:spacing w:line="360" w:lineRule="auto"/>
              <w:jc w:val="center"/>
              <w:rPr>
                <w:rFonts w:asciiTheme="minorEastAsia" w:hAnsiTheme="minorEastAsia" w:eastAsiaTheme="minorEastAsia"/>
                <w:szCs w:val="24"/>
              </w:rPr>
            </w:pPr>
          </w:p>
        </w:tc>
        <w:tc>
          <w:tcPr>
            <w:tcW w:w="1229" w:type="dxa"/>
            <w:vAlign w:val="center"/>
          </w:tcPr>
          <w:p>
            <w:pPr>
              <w:pStyle w:val="10"/>
              <w:spacing w:line="360" w:lineRule="auto"/>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1209" w:type="dxa"/>
            <w:vAlign w:val="center"/>
          </w:tcPr>
          <w:p>
            <w:pPr>
              <w:pStyle w:val="10"/>
              <w:spacing w:line="240" w:lineRule="atLeast"/>
              <w:jc w:val="center"/>
              <w:rPr>
                <w:rFonts w:asciiTheme="minorEastAsia" w:hAnsiTheme="minorEastAsia" w:eastAsiaTheme="minorEastAsia"/>
                <w:szCs w:val="24"/>
              </w:rPr>
            </w:pPr>
          </w:p>
        </w:tc>
        <w:tc>
          <w:tcPr>
            <w:tcW w:w="3889" w:type="dxa"/>
            <w:vAlign w:val="center"/>
          </w:tcPr>
          <w:p>
            <w:pPr>
              <w:pStyle w:val="10"/>
              <w:spacing w:line="240" w:lineRule="atLeast"/>
              <w:jc w:val="center"/>
              <w:rPr>
                <w:rFonts w:asciiTheme="minorEastAsia" w:hAnsiTheme="minorEastAsia" w:eastAsiaTheme="minorEastAsia"/>
                <w:szCs w:val="24"/>
              </w:rPr>
            </w:pPr>
          </w:p>
        </w:tc>
        <w:tc>
          <w:tcPr>
            <w:tcW w:w="1510" w:type="dxa"/>
            <w:vAlign w:val="center"/>
          </w:tcPr>
          <w:p>
            <w:pPr>
              <w:pStyle w:val="10"/>
              <w:spacing w:line="240" w:lineRule="atLeast"/>
              <w:jc w:val="center"/>
              <w:rPr>
                <w:rFonts w:asciiTheme="minorEastAsia" w:hAnsiTheme="minorEastAsia" w:eastAsiaTheme="minorEastAsia"/>
                <w:szCs w:val="24"/>
              </w:rPr>
            </w:pPr>
          </w:p>
        </w:tc>
        <w:tc>
          <w:tcPr>
            <w:tcW w:w="1342" w:type="dxa"/>
            <w:vAlign w:val="center"/>
          </w:tcPr>
          <w:p>
            <w:pPr>
              <w:pStyle w:val="10"/>
              <w:spacing w:line="360" w:lineRule="auto"/>
              <w:jc w:val="center"/>
              <w:rPr>
                <w:rFonts w:asciiTheme="minorEastAsia" w:hAnsiTheme="minorEastAsia" w:eastAsiaTheme="minorEastAsia"/>
                <w:szCs w:val="24"/>
              </w:rPr>
            </w:pPr>
          </w:p>
        </w:tc>
        <w:tc>
          <w:tcPr>
            <w:tcW w:w="1229" w:type="dxa"/>
            <w:vAlign w:val="center"/>
          </w:tcPr>
          <w:p>
            <w:pPr>
              <w:pStyle w:val="10"/>
              <w:spacing w:line="360" w:lineRule="auto"/>
              <w:jc w:val="cente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209" w:type="dxa"/>
            <w:vAlign w:val="center"/>
          </w:tcPr>
          <w:p>
            <w:pPr>
              <w:pStyle w:val="10"/>
              <w:spacing w:line="360" w:lineRule="auto"/>
              <w:jc w:val="center"/>
              <w:rPr>
                <w:rFonts w:asciiTheme="minorEastAsia" w:hAnsiTheme="minorEastAsia" w:eastAsiaTheme="minorEastAsia"/>
                <w:szCs w:val="24"/>
              </w:rPr>
            </w:pPr>
            <w:r>
              <w:rPr>
                <w:rFonts w:hint="eastAsia" w:asciiTheme="minorEastAsia" w:hAnsiTheme="minorEastAsia" w:eastAsiaTheme="minorEastAsia"/>
                <w:szCs w:val="24"/>
              </w:rPr>
              <w:t>合计：</w:t>
            </w:r>
          </w:p>
        </w:tc>
        <w:tc>
          <w:tcPr>
            <w:tcW w:w="7970" w:type="dxa"/>
            <w:gridSpan w:val="4"/>
          </w:tcPr>
          <w:p>
            <w:pPr>
              <w:pStyle w:val="10"/>
              <w:spacing w:line="360" w:lineRule="auto"/>
              <w:rPr>
                <w:rFonts w:asciiTheme="minorEastAsia" w:hAnsiTheme="minorEastAsia" w:eastAsiaTheme="minorEastAsia"/>
                <w:szCs w:val="24"/>
              </w:rPr>
            </w:pPr>
            <w:r>
              <w:rPr>
                <w:rFonts w:hint="eastAsia" w:asciiTheme="minorEastAsia" w:hAnsiTheme="minorEastAsia" w:eastAsiaTheme="minorEastAsia"/>
                <w:szCs w:val="24"/>
              </w:rPr>
              <w:t>大写：（元）</w:t>
            </w:r>
          </w:p>
          <w:p>
            <w:pPr>
              <w:pStyle w:val="10"/>
              <w:spacing w:line="360" w:lineRule="auto"/>
              <w:rPr>
                <w:rFonts w:asciiTheme="minorEastAsia" w:hAnsiTheme="minorEastAsia" w:eastAsiaTheme="minorEastAsia"/>
                <w:szCs w:val="24"/>
              </w:rPr>
            </w:pPr>
            <w:r>
              <w:rPr>
                <w:rFonts w:hint="eastAsia" w:asciiTheme="minorEastAsia" w:hAnsiTheme="minorEastAsia" w:eastAsiaTheme="minorEastAsia"/>
                <w:szCs w:val="24"/>
              </w:rPr>
              <w:t>小写：（元）</w:t>
            </w:r>
          </w:p>
        </w:tc>
      </w:tr>
    </w:tbl>
    <w:p>
      <w:pPr>
        <w:spacing w:line="360" w:lineRule="auto"/>
        <w:ind w:firstLine="537" w:firstLineChars="224"/>
        <w:rPr>
          <w:rFonts w:asciiTheme="minorEastAsia" w:hAnsiTheme="minorEastAsia"/>
          <w:sz w:val="24"/>
        </w:rPr>
      </w:pPr>
    </w:p>
    <w:p>
      <w:pPr>
        <w:spacing w:line="360" w:lineRule="auto"/>
        <w:rPr>
          <w:rFonts w:asciiTheme="minorEastAsia" w:hAnsiTheme="minorEastAsia"/>
          <w:sz w:val="24"/>
        </w:rPr>
      </w:pPr>
      <w:r>
        <w:rPr>
          <w:rFonts w:hint="eastAsia" w:asciiTheme="minorEastAsia" w:hAnsiTheme="minorEastAsia"/>
          <w:sz w:val="24"/>
        </w:rPr>
        <w:t>供应商名称：（章）</w:t>
      </w:r>
      <w:r>
        <w:rPr>
          <w:rFonts w:hint="eastAsia" w:asciiTheme="minorEastAsia" w:hAnsiTheme="minorEastAsia"/>
          <w:sz w:val="24"/>
          <w:u w:val="single"/>
        </w:rPr>
        <w:t xml:space="preserve">                      </w:t>
      </w:r>
      <w:r>
        <w:rPr>
          <w:rFonts w:hint="eastAsia" w:asciiTheme="minorEastAsia" w:hAnsiTheme="minorEastAsia"/>
          <w:sz w:val="24"/>
        </w:rPr>
        <w:t xml:space="preserve">      </w:t>
      </w:r>
    </w:p>
    <w:p>
      <w:pPr>
        <w:spacing w:line="360" w:lineRule="auto"/>
        <w:rPr>
          <w:rFonts w:asciiTheme="minorEastAsia" w:hAnsiTheme="minorEastAsia"/>
          <w:sz w:val="24"/>
        </w:rPr>
      </w:pPr>
      <w:r>
        <w:rPr>
          <w:rFonts w:hint="eastAsia" w:asciiTheme="minorEastAsia" w:hAnsiTheme="minorEastAsia"/>
          <w:sz w:val="24"/>
        </w:rPr>
        <w:t>授权代表（签名</w:t>
      </w:r>
      <w:r>
        <w:rPr>
          <w:rFonts w:hint="eastAsia" w:asciiTheme="minorEastAsia" w:hAnsiTheme="minorEastAsia"/>
          <w:sz w:val="24"/>
          <w:szCs w:val="28"/>
        </w:rPr>
        <w:t>或盖章</w:t>
      </w:r>
      <w:r>
        <w:rPr>
          <w:rFonts w:hint="eastAsia" w:asciiTheme="minorEastAsia" w:hAnsiTheme="minorEastAsia"/>
          <w:sz w:val="24"/>
        </w:rPr>
        <w:t>）：</w:t>
      </w:r>
      <w:r>
        <w:rPr>
          <w:rFonts w:hint="eastAsia" w:asciiTheme="minorEastAsia" w:hAnsiTheme="minorEastAsia"/>
          <w:sz w:val="24"/>
          <w:u w:val="single"/>
        </w:rPr>
        <w:t xml:space="preserve">                 </w:t>
      </w:r>
      <w:r>
        <w:rPr>
          <w:rFonts w:hint="eastAsia" w:asciiTheme="minorEastAsia" w:hAnsiTheme="minorEastAsia"/>
          <w:sz w:val="24"/>
        </w:rPr>
        <w:t xml:space="preserve">         </w:t>
      </w:r>
    </w:p>
    <w:p>
      <w:pPr>
        <w:spacing w:line="360" w:lineRule="auto"/>
        <w:rPr>
          <w:rFonts w:asciiTheme="minorEastAsia" w:hAnsiTheme="minorEastAsia"/>
          <w:sz w:val="24"/>
        </w:rPr>
      </w:pPr>
      <w:r>
        <w:rPr>
          <w:rFonts w:hint="eastAsia" w:asciiTheme="minorEastAsia" w:hAnsiTheme="minorEastAsia"/>
          <w:sz w:val="24"/>
        </w:rPr>
        <w:t>日期：</w:t>
      </w:r>
      <w:r>
        <w:rPr>
          <w:rFonts w:hint="eastAsia" w:asciiTheme="minorEastAsia" w:hAnsiTheme="minorEastAsia"/>
          <w:sz w:val="24"/>
          <w:u w:val="single"/>
        </w:rPr>
        <w:t xml:space="preserve">                  </w:t>
      </w:r>
      <w:r>
        <w:rPr>
          <w:rFonts w:hint="eastAsia" w:asciiTheme="minorEastAsia" w:hAnsiTheme="minorEastAsia"/>
          <w:sz w:val="24"/>
        </w:rPr>
        <w:t xml:space="preserve">  </w:t>
      </w:r>
    </w:p>
    <w:p>
      <w:pPr>
        <w:snapToGrid w:val="0"/>
        <w:spacing w:line="360" w:lineRule="auto"/>
        <w:ind w:right="-350" w:rightChars="-167"/>
        <w:rPr>
          <w:rFonts w:ascii="宋体" w:hAnsi="宋体"/>
          <w:spacing w:val="4"/>
          <w:sz w:val="24"/>
        </w:rPr>
      </w:pPr>
      <w:bookmarkStart w:id="17" w:name="_Toc511029430"/>
    </w:p>
    <w:p>
      <w:pPr>
        <w:pStyle w:val="4"/>
        <w:spacing w:before="0" w:after="0" w:line="360" w:lineRule="auto"/>
        <w:rPr>
          <w:rFonts w:ascii="宋体" w:hAnsi="宋体"/>
          <w:b w:val="0"/>
          <w:sz w:val="21"/>
          <w:szCs w:val="21"/>
        </w:rPr>
      </w:pPr>
      <w:bookmarkStart w:id="18" w:name="_Toc15870"/>
    </w:p>
    <w:p>
      <w:pPr>
        <w:pStyle w:val="4"/>
        <w:spacing w:before="0" w:after="0" w:line="360" w:lineRule="auto"/>
        <w:rPr>
          <w:rFonts w:ascii="宋体" w:hAnsi="宋体"/>
          <w:b w:val="0"/>
          <w:sz w:val="21"/>
          <w:szCs w:val="21"/>
        </w:rPr>
      </w:pPr>
    </w:p>
    <w:p>
      <w:pPr>
        <w:pStyle w:val="4"/>
        <w:spacing w:before="0" w:after="0" w:line="360" w:lineRule="auto"/>
        <w:rPr>
          <w:rFonts w:ascii="宋体" w:hAnsi="宋体"/>
          <w:b w:val="0"/>
          <w:sz w:val="21"/>
          <w:szCs w:val="21"/>
        </w:rPr>
      </w:pPr>
    </w:p>
    <w:p>
      <w:pPr>
        <w:pStyle w:val="4"/>
        <w:spacing w:before="0" w:after="0" w:line="360" w:lineRule="auto"/>
        <w:rPr>
          <w:rFonts w:ascii="宋体" w:hAnsi="宋体"/>
          <w:b w:val="0"/>
          <w:sz w:val="21"/>
          <w:szCs w:val="21"/>
        </w:rPr>
      </w:pPr>
    </w:p>
    <w:p>
      <w:pPr>
        <w:rPr>
          <w:rFonts w:ascii="宋体" w:hAnsi="宋体"/>
          <w:szCs w:val="21"/>
        </w:rPr>
      </w:pPr>
    </w:p>
    <w:p>
      <w:pPr>
        <w:rPr>
          <w:rFonts w:ascii="宋体" w:hAnsi="宋体"/>
          <w:szCs w:val="21"/>
        </w:rPr>
      </w:pPr>
    </w:p>
    <w:p>
      <w:pPr>
        <w:pStyle w:val="4"/>
        <w:spacing w:before="0" w:after="0" w:line="360" w:lineRule="auto"/>
        <w:rPr>
          <w:rFonts w:ascii="宋体" w:hAnsi="宋体"/>
          <w:sz w:val="24"/>
          <w:szCs w:val="24"/>
        </w:rPr>
      </w:pPr>
      <w:r>
        <w:rPr>
          <w:rFonts w:hint="eastAsia" w:ascii="宋体" w:hAnsi="宋体"/>
          <w:b w:val="0"/>
          <w:sz w:val="24"/>
          <w:szCs w:val="24"/>
        </w:rPr>
        <w:t>附件4：技术规格响应/偏离表</w:t>
      </w:r>
      <w:bookmarkEnd w:id="18"/>
    </w:p>
    <w:p>
      <w:pPr>
        <w:spacing w:before="312" w:beforeLines="100" w:after="312" w:afterLines="100" w:line="360" w:lineRule="auto"/>
        <w:jc w:val="center"/>
        <w:rPr>
          <w:rFonts w:ascii="宋体" w:hAnsi="宋体"/>
          <w:sz w:val="48"/>
          <w:szCs w:val="48"/>
        </w:rPr>
      </w:pPr>
      <w:r>
        <w:rPr>
          <w:rFonts w:hint="eastAsia" w:ascii="宋体" w:hAnsi="宋体"/>
          <w:sz w:val="48"/>
          <w:szCs w:val="48"/>
        </w:rPr>
        <w:t>技术规格响应/偏离表</w:t>
      </w:r>
    </w:p>
    <w:p>
      <w:pPr>
        <w:spacing w:after="156" w:afterLines="50"/>
        <w:jc w:val="left"/>
        <w:rPr>
          <w:rFonts w:ascii="宋体" w:hAnsi="宋体"/>
          <w:spacing w:val="19"/>
          <w:kern w:val="0"/>
          <w:sz w:val="24"/>
          <w:szCs w:val="25"/>
          <w:u w:val="single"/>
        </w:rPr>
      </w:pPr>
      <w:r>
        <w:rPr>
          <w:rFonts w:hint="eastAsia" w:ascii="宋体" w:hAnsi="宋体" w:cs="宋体"/>
          <w:color w:val="000000"/>
          <w:kern w:val="0"/>
          <w:sz w:val="24"/>
        </w:rPr>
        <w:t>购</w:t>
      </w: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cs="宋体"/>
          <w:color w:val="000000"/>
          <w:kern w:val="0"/>
          <w:sz w:val="24"/>
        </w:rPr>
        <w:t>购</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17"/>
        <w:tblpPr w:leftFromText="180" w:rightFromText="180" w:vertAnchor="text" w:horzAnchor="page" w:tblpX="1509" w:tblpY="115"/>
        <w:tblOverlap w:val="never"/>
        <w:tblW w:w="95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8"/>
        <w:gridCol w:w="3185"/>
        <w:gridCol w:w="2340"/>
        <w:gridCol w:w="1635"/>
        <w:gridCol w:w="16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748" w:type="dxa"/>
            <w:vAlign w:val="center"/>
          </w:tcPr>
          <w:p>
            <w:pPr>
              <w:ind w:left="-90"/>
              <w:jc w:val="center"/>
              <w:rPr>
                <w:rFonts w:ascii="宋体" w:hAnsi="宋体"/>
                <w:kern w:val="0"/>
                <w:sz w:val="24"/>
              </w:rPr>
            </w:pPr>
            <w:r>
              <w:rPr>
                <w:rFonts w:hint="eastAsia" w:ascii="宋体" w:hAnsi="宋体"/>
                <w:kern w:val="0"/>
                <w:sz w:val="24"/>
              </w:rPr>
              <w:t>序号</w:t>
            </w:r>
          </w:p>
        </w:tc>
        <w:tc>
          <w:tcPr>
            <w:tcW w:w="3185" w:type="dxa"/>
            <w:vAlign w:val="center"/>
          </w:tcPr>
          <w:p>
            <w:pPr>
              <w:ind w:left="-90"/>
              <w:jc w:val="center"/>
              <w:rPr>
                <w:rFonts w:ascii="宋体" w:hAnsi="宋体"/>
                <w:kern w:val="0"/>
                <w:sz w:val="24"/>
              </w:rPr>
            </w:pPr>
            <w:r>
              <w:rPr>
                <w:rFonts w:hint="eastAsia" w:ascii="宋体" w:hAnsi="宋体"/>
                <w:kern w:val="0"/>
                <w:sz w:val="24"/>
              </w:rPr>
              <w:t>采购需求指标</w:t>
            </w:r>
          </w:p>
        </w:tc>
        <w:tc>
          <w:tcPr>
            <w:tcW w:w="2340" w:type="dxa"/>
            <w:vAlign w:val="center"/>
          </w:tcPr>
          <w:p>
            <w:pPr>
              <w:ind w:left="-90"/>
              <w:jc w:val="center"/>
              <w:rPr>
                <w:rFonts w:ascii="宋体" w:hAnsi="宋体"/>
                <w:kern w:val="0"/>
                <w:sz w:val="24"/>
              </w:rPr>
            </w:pPr>
            <w:r>
              <w:rPr>
                <w:rFonts w:hint="eastAsia" w:ascii="宋体" w:hAnsi="宋体"/>
                <w:kern w:val="0"/>
                <w:sz w:val="24"/>
              </w:rPr>
              <w:t>投标指标</w:t>
            </w:r>
          </w:p>
        </w:tc>
        <w:tc>
          <w:tcPr>
            <w:tcW w:w="1635" w:type="dxa"/>
            <w:vAlign w:val="center"/>
          </w:tcPr>
          <w:p>
            <w:pPr>
              <w:ind w:left="-90"/>
              <w:jc w:val="center"/>
              <w:rPr>
                <w:rFonts w:ascii="宋体" w:hAnsi="宋体"/>
                <w:kern w:val="0"/>
                <w:sz w:val="24"/>
              </w:rPr>
            </w:pPr>
            <w:r>
              <w:rPr>
                <w:rFonts w:hint="eastAsia" w:ascii="宋体" w:hAnsi="宋体"/>
                <w:kern w:val="0"/>
                <w:sz w:val="24"/>
              </w:rPr>
              <w:t>响应/偏离</w:t>
            </w:r>
          </w:p>
        </w:tc>
        <w:tc>
          <w:tcPr>
            <w:tcW w:w="1634" w:type="dxa"/>
            <w:vAlign w:val="center"/>
          </w:tcPr>
          <w:p>
            <w:pPr>
              <w:ind w:left="-90"/>
              <w:jc w:val="center"/>
              <w:rPr>
                <w:rFonts w:ascii="宋体" w:hAnsi="宋体"/>
                <w:kern w:val="0"/>
                <w:sz w:val="24"/>
              </w:rPr>
            </w:pPr>
            <w:r>
              <w:rPr>
                <w:rFonts w:hint="eastAsia" w:ascii="宋体" w:hAnsi="宋体"/>
                <w:kern w:val="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48" w:type="dxa"/>
            <w:vAlign w:val="center"/>
          </w:tcPr>
          <w:p>
            <w:pPr>
              <w:ind w:left="-90"/>
              <w:jc w:val="center"/>
              <w:rPr>
                <w:rFonts w:ascii="宋体" w:hAnsi="宋体"/>
                <w:kern w:val="0"/>
                <w:sz w:val="20"/>
              </w:rPr>
            </w:pPr>
          </w:p>
        </w:tc>
        <w:tc>
          <w:tcPr>
            <w:tcW w:w="3185" w:type="dxa"/>
            <w:vAlign w:val="center"/>
          </w:tcPr>
          <w:p>
            <w:pPr>
              <w:ind w:left="-90"/>
              <w:jc w:val="center"/>
              <w:rPr>
                <w:rFonts w:ascii="宋体" w:hAnsi="宋体"/>
                <w:kern w:val="0"/>
                <w:sz w:val="20"/>
              </w:rPr>
            </w:pPr>
          </w:p>
        </w:tc>
        <w:tc>
          <w:tcPr>
            <w:tcW w:w="2340" w:type="dxa"/>
            <w:vAlign w:val="center"/>
          </w:tcPr>
          <w:p>
            <w:pPr>
              <w:ind w:left="-90"/>
              <w:jc w:val="center"/>
              <w:rPr>
                <w:rFonts w:ascii="宋体" w:hAnsi="宋体"/>
                <w:kern w:val="0"/>
                <w:sz w:val="20"/>
              </w:rPr>
            </w:pPr>
          </w:p>
        </w:tc>
        <w:tc>
          <w:tcPr>
            <w:tcW w:w="1635" w:type="dxa"/>
            <w:vAlign w:val="center"/>
          </w:tcPr>
          <w:p>
            <w:pPr>
              <w:ind w:left="-90"/>
              <w:jc w:val="center"/>
              <w:rPr>
                <w:rFonts w:ascii="宋体" w:hAnsi="宋体"/>
                <w:kern w:val="0"/>
                <w:sz w:val="20"/>
              </w:rPr>
            </w:pPr>
          </w:p>
        </w:tc>
        <w:tc>
          <w:tcPr>
            <w:tcW w:w="1634" w:type="dxa"/>
            <w:vAlign w:val="center"/>
          </w:tcPr>
          <w:p>
            <w:pPr>
              <w:ind w:left="-90"/>
              <w:jc w:val="center"/>
              <w:rPr>
                <w:rFonts w:ascii="宋体" w:hAnsi="宋体"/>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748" w:type="dxa"/>
            <w:vAlign w:val="center"/>
          </w:tcPr>
          <w:p>
            <w:pPr>
              <w:ind w:left="-90"/>
              <w:jc w:val="center"/>
              <w:rPr>
                <w:rFonts w:ascii="宋体" w:hAnsi="宋体"/>
                <w:kern w:val="0"/>
                <w:sz w:val="20"/>
              </w:rPr>
            </w:pPr>
          </w:p>
        </w:tc>
        <w:tc>
          <w:tcPr>
            <w:tcW w:w="3185" w:type="dxa"/>
            <w:vAlign w:val="center"/>
          </w:tcPr>
          <w:p>
            <w:pPr>
              <w:ind w:left="-90" w:right="-287" w:rightChars="-137"/>
              <w:jc w:val="center"/>
              <w:rPr>
                <w:rFonts w:ascii="宋体" w:hAnsi="宋体"/>
                <w:kern w:val="0"/>
                <w:sz w:val="20"/>
              </w:rPr>
            </w:pPr>
          </w:p>
        </w:tc>
        <w:tc>
          <w:tcPr>
            <w:tcW w:w="2340" w:type="dxa"/>
            <w:vAlign w:val="center"/>
          </w:tcPr>
          <w:p>
            <w:pPr>
              <w:ind w:left="-90"/>
              <w:jc w:val="center"/>
              <w:rPr>
                <w:rFonts w:ascii="宋体" w:hAnsi="宋体"/>
                <w:kern w:val="0"/>
                <w:sz w:val="20"/>
              </w:rPr>
            </w:pPr>
          </w:p>
        </w:tc>
        <w:tc>
          <w:tcPr>
            <w:tcW w:w="1635" w:type="dxa"/>
            <w:vAlign w:val="center"/>
          </w:tcPr>
          <w:p>
            <w:pPr>
              <w:ind w:left="-90"/>
              <w:jc w:val="center"/>
              <w:rPr>
                <w:rFonts w:ascii="宋体" w:hAnsi="宋体"/>
                <w:kern w:val="0"/>
                <w:sz w:val="20"/>
              </w:rPr>
            </w:pPr>
          </w:p>
        </w:tc>
        <w:tc>
          <w:tcPr>
            <w:tcW w:w="1634" w:type="dxa"/>
            <w:vAlign w:val="center"/>
          </w:tcPr>
          <w:p>
            <w:pPr>
              <w:ind w:left="-90"/>
              <w:jc w:val="center"/>
              <w:rPr>
                <w:rFonts w:ascii="宋体" w:hAnsi="宋体"/>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748" w:type="dxa"/>
            <w:vAlign w:val="center"/>
          </w:tcPr>
          <w:p>
            <w:pPr>
              <w:ind w:left="-90"/>
              <w:jc w:val="center"/>
              <w:rPr>
                <w:rFonts w:ascii="宋体" w:hAnsi="宋体"/>
                <w:kern w:val="0"/>
                <w:sz w:val="20"/>
              </w:rPr>
            </w:pPr>
          </w:p>
        </w:tc>
        <w:tc>
          <w:tcPr>
            <w:tcW w:w="3185" w:type="dxa"/>
            <w:vAlign w:val="center"/>
          </w:tcPr>
          <w:p>
            <w:pPr>
              <w:ind w:left="-90"/>
              <w:jc w:val="center"/>
              <w:rPr>
                <w:rFonts w:ascii="宋体" w:hAnsi="宋体"/>
                <w:kern w:val="0"/>
                <w:sz w:val="20"/>
              </w:rPr>
            </w:pPr>
          </w:p>
        </w:tc>
        <w:tc>
          <w:tcPr>
            <w:tcW w:w="2340" w:type="dxa"/>
            <w:vAlign w:val="center"/>
          </w:tcPr>
          <w:p>
            <w:pPr>
              <w:ind w:left="-90"/>
              <w:jc w:val="center"/>
              <w:rPr>
                <w:rFonts w:ascii="宋体" w:hAnsi="宋体"/>
                <w:kern w:val="0"/>
                <w:sz w:val="20"/>
              </w:rPr>
            </w:pPr>
          </w:p>
        </w:tc>
        <w:tc>
          <w:tcPr>
            <w:tcW w:w="1635" w:type="dxa"/>
            <w:vAlign w:val="center"/>
          </w:tcPr>
          <w:p>
            <w:pPr>
              <w:ind w:left="-90"/>
              <w:jc w:val="center"/>
              <w:rPr>
                <w:rFonts w:ascii="宋体" w:hAnsi="宋体"/>
                <w:kern w:val="0"/>
                <w:sz w:val="20"/>
              </w:rPr>
            </w:pPr>
          </w:p>
        </w:tc>
        <w:tc>
          <w:tcPr>
            <w:tcW w:w="1634" w:type="dxa"/>
            <w:vAlign w:val="center"/>
          </w:tcPr>
          <w:p>
            <w:pPr>
              <w:ind w:left="-90"/>
              <w:jc w:val="center"/>
              <w:rPr>
                <w:rFonts w:ascii="宋体" w:hAnsi="宋体"/>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748" w:type="dxa"/>
            <w:vAlign w:val="center"/>
          </w:tcPr>
          <w:p>
            <w:pPr>
              <w:ind w:left="-90"/>
              <w:jc w:val="center"/>
              <w:rPr>
                <w:rFonts w:ascii="宋体" w:hAnsi="宋体"/>
                <w:kern w:val="0"/>
                <w:sz w:val="20"/>
              </w:rPr>
            </w:pPr>
          </w:p>
        </w:tc>
        <w:tc>
          <w:tcPr>
            <w:tcW w:w="3185" w:type="dxa"/>
            <w:vAlign w:val="center"/>
          </w:tcPr>
          <w:p>
            <w:pPr>
              <w:ind w:left="-90"/>
              <w:jc w:val="center"/>
              <w:rPr>
                <w:rFonts w:ascii="宋体" w:hAnsi="宋体"/>
                <w:kern w:val="0"/>
                <w:sz w:val="20"/>
              </w:rPr>
            </w:pPr>
          </w:p>
        </w:tc>
        <w:tc>
          <w:tcPr>
            <w:tcW w:w="2340" w:type="dxa"/>
            <w:vAlign w:val="center"/>
          </w:tcPr>
          <w:p>
            <w:pPr>
              <w:ind w:left="-90"/>
              <w:jc w:val="center"/>
              <w:rPr>
                <w:rFonts w:ascii="宋体" w:hAnsi="宋体"/>
                <w:kern w:val="0"/>
                <w:sz w:val="20"/>
              </w:rPr>
            </w:pPr>
          </w:p>
        </w:tc>
        <w:tc>
          <w:tcPr>
            <w:tcW w:w="1635" w:type="dxa"/>
            <w:vAlign w:val="center"/>
          </w:tcPr>
          <w:p>
            <w:pPr>
              <w:ind w:left="-90"/>
              <w:jc w:val="center"/>
              <w:rPr>
                <w:rFonts w:ascii="宋体" w:hAnsi="宋体"/>
                <w:kern w:val="0"/>
                <w:sz w:val="20"/>
              </w:rPr>
            </w:pPr>
          </w:p>
        </w:tc>
        <w:tc>
          <w:tcPr>
            <w:tcW w:w="1634" w:type="dxa"/>
            <w:vAlign w:val="center"/>
          </w:tcPr>
          <w:p>
            <w:pPr>
              <w:ind w:left="-90"/>
              <w:jc w:val="center"/>
              <w:rPr>
                <w:rFonts w:ascii="宋体" w:hAnsi="宋体"/>
                <w:kern w:val="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5" w:hRule="atLeast"/>
        </w:trPr>
        <w:tc>
          <w:tcPr>
            <w:tcW w:w="748" w:type="dxa"/>
            <w:vAlign w:val="center"/>
          </w:tcPr>
          <w:p>
            <w:pPr>
              <w:ind w:left="-90"/>
              <w:jc w:val="center"/>
              <w:rPr>
                <w:rFonts w:ascii="宋体" w:hAnsi="宋体"/>
                <w:kern w:val="0"/>
                <w:sz w:val="20"/>
              </w:rPr>
            </w:pPr>
          </w:p>
        </w:tc>
        <w:tc>
          <w:tcPr>
            <w:tcW w:w="3185" w:type="dxa"/>
            <w:vAlign w:val="center"/>
          </w:tcPr>
          <w:p>
            <w:pPr>
              <w:ind w:left="-90"/>
              <w:jc w:val="center"/>
              <w:rPr>
                <w:rFonts w:ascii="宋体" w:hAnsi="宋体"/>
                <w:kern w:val="0"/>
                <w:sz w:val="20"/>
              </w:rPr>
            </w:pPr>
          </w:p>
        </w:tc>
        <w:tc>
          <w:tcPr>
            <w:tcW w:w="2340" w:type="dxa"/>
            <w:vAlign w:val="center"/>
          </w:tcPr>
          <w:p>
            <w:pPr>
              <w:ind w:left="-90"/>
              <w:jc w:val="center"/>
              <w:rPr>
                <w:rFonts w:ascii="宋体" w:hAnsi="宋体"/>
                <w:kern w:val="0"/>
                <w:sz w:val="20"/>
              </w:rPr>
            </w:pPr>
          </w:p>
        </w:tc>
        <w:tc>
          <w:tcPr>
            <w:tcW w:w="1635" w:type="dxa"/>
            <w:vAlign w:val="center"/>
          </w:tcPr>
          <w:p>
            <w:pPr>
              <w:ind w:left="-90"/>
              <w:jc w:val="center"/>
              <w:rPr>
                <w:rFonts w:ascii="宋体" w:hAnsi="宋体"/>
                <w:kern w:val="0"/>
                <w:sz w:val="20"/>
              </w:rPr>
            </w:pPr>
          </w:p>
        </w:tc>
        <w:tc>
          <w:tcPr>
            <w:tcW w:w="1634" w:type="dxa"/>
            <w:vAlign w:val="center"/>
          </w:tcPr>
          <w:p>
            <w:pPr>
              <w:ind w:left="-90"/>
              <w:jc w:val="center"/>
              <w:rPr>
                <w:rFonts w:ascii="宋体" w:hAnsi="宋体"/>
                <w:kern w:val="0"/>
                <w:sz w:val="20"/>
              </w:rPr>
            </w:pPr>
          </w:p>
        </w:tc>
      </w:tr>
    </w:tbl>
    <w:p>
      <w:pPr>
        <w:pStyle w:val="3"/>
        <w:spacing w:before="156" w:beforeLines="50" w:after="156" w:afterLines="50" w:line="360" w:lineRule="auto"/>
        <w:jc w:val="left"/>
        <w:rPr>
          <w:rFonts w:ascii="宋体" w:hAnsi="宋体"/>
          <w:sz w:val="24"/>
        </w:rPr>
      </w:pPr>
      <w:r>
        <w:rPr>
          <w:rFonts w:hint="eastAsia" w:ascii="宋体" w:hAnsi="宋体" w:cs="宋体"/>
          <w:color w:val="000000"/>
          <w:kern w:val="0"/>
          <w:sz w:val="24"/>
        </w:rPr>
        <w:t>采</w:t>
      </w:r>
      <w:r>
        <w:rPr>
          <w:rFonts w:hint="eastAsia" w:ascii="宋体" w:hAnsi="宋体"/>
          <w:sz w:val="24"/>
        </w:rPr>
        <w:t>注：供应商应对照信息化项目校内分散采购需求，逐条核对所提投标内容是否作出了实质性的响应，有偏离的必须作出说明，供应商必须提供本次投标的技术指标。</w:t>
      </w:r>
    </w:p>
    <w:p>
      <w:pPr>
        <w:spacing w:line="360" w:lineRule="auto"/>
        <w:rPr>
          <w:rFonts w:ascii="宋体" w:hAnsi="宋体"/>
          <w:sz w:val="24"/>
        </w:rPr>
      </w:pPr>
      <w:r>
        <w:rPr>
          <w:rFonts w:hint="eastAsia" w:ascii="宋体" w:hAnsi="宋体"/>
          <w:sz w:val="24"/>
        </w:rPr>
        <w:t>供应商名称：（章）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color w:val="000000"/>
          <w:sz w:val="24"/>
        </w:rPr>
        <w:t>法定代表人或</w:t>
      </w:r>
      <w:r>
        <w:rPr>
          <w:rFonts w:hint="eastAsia" w:ascii="宋体" w:hAnsi="宋体" w:cs="宋体"/>
          <w:sz w:val="24"/>
        </w:rPr>
        <w:t>被授权人</w:t>
      </w:r>
      <w:r>
        <w:rPr>
          <w:rFonts w:hint="eastAsia" w:ascii="宋体" w:hAnsi="宋体"/>
          <w:sz w:val="24"/>
        </w:rPr>
        <w:t>（签字或盖章）：</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pPr>
    </w:p>
    <w:p>
      <w:pPr>
        <w:snapToGrid w:val="0"/>
        <w:spacing w:line="360" w:lineRule="auto"/>
        <w:ind w:right="-350" w:rightChars="-167"/>
        <w:rPr>
          <w:rFonts w:ascii="宋体" w:hAnsi="宋体"/>
          <w:spacing w:val="4"/>
          <w:sz w:val="24"/>
        </w:rPr>
        <w:sectPr>
          <w:pgSz w:w="11906" w:h="16838"/>
          <w:pgMar w:top="1440" w:right="1134" w:bottom="1440" w:left="1418" w:header="851" w:footer="992" w:gutter="0"/>
          <w:cols w:space="720" w:num="1"/>
          <w:docGrid w:type="linesAndChars" w:linePitch="312" w:charSpace="0"/>
        </w:sectPr>
      </w:pPr>
    </w:p>
    <w:bookmarkEnd w:id="17"/>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附件5：供应商投标授权书</w:t>
      </w:r>
    </w:p>
    <w:p>
      <w:pPr>
        <w:widowControl/>
        <w:jc w:val="left"/>
        <w:rPr>
          <w:rFonts w:ascii="宋体" w:hAnsi="宋体" w:eastAsia="宋体" w:cs="宋体"/>
          <w:color w:val="000000"/>
          <w:kern w:val="0"/>
          <w:sz w:val="20"/>
          <w:szCs w:val="20"/>
          <w:lang w:bidi="ar"/>
        </w:rPr>
      </w:pPr>
    </w:p>
    <w:p>
      <w:pPr>
        <w:widowControl/>
        <w:jc w:val="center"/>
        <w:rPr>
          <w:rFonts w:ascii="宋体" w:hAnsi="宋体" w:eastAsia="宋体" w:cs="宋体"/>
          <w:color w:val="000000"/>
          <w:kern w:val="0"/>
          <w:sz w:val="48"/>
          <w:szCs w:val="48"/>
          <w:lang w:bidi="ar"/>
        </w:rPr>
      </w:pPr>
      <w:r>
        <w:rPr>
          <w:rFonts w:hint="eastAsia" w:ascii="宋体" w:hAnsi="宋体" w:eastAsia="宋体" w:cs="宋体"/>
          <w:color w:val="000000"/>
          <w:kern w:val="0"/>
          <w:sz w:val="48"/>
          <w:szCs w:val="48"/>
          <w:lang w:bidi="ar"/>
        </w:rPr>
        <w:t>供应商投标授权书</w:t>
      </w:r>
    </w:p>
    <w:p>
      <w:pPr>
        <w:widowControl/>
        <w:jc w:val="center"/>
        <w:rPr>
          <w:rFonts w:ascii="宋体" w:hAnsi="宋体" w:eastAsia="宋体" w:cs="宋体"/>
          <w:color w:val="000000"/>
          <w:kern w:val="0"/>
          <w:sz w:val="48"/>
          <w:szCs w:val="48"/>
          <w:lang w:bidi="ar"/>
        </w:rPr>
      </w:pPr>
    </w:p>
    <w:p>
      <w:pPr>
        <w:widowControl/>
        <w:spacing w:line="360" w:lineRule="auto"/>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江南大学信息化建设管理处：</w:t>
      </w:r>
    </w:p>
    <w:p>
      <w:pPr>
        <w:widowControl/>
        <w:spacing w:line="360" w:lineRule="auto"/>
        <w:jc w:val="left"/>
        <w:rPr>
          <w:rFonts w:ascii="宋体" w:hAnsi="宋体" w:eastAsia="宋体" w:cs="宋体"/>
          <w:color w:val="000000"/>
          <w:kern w:val="0"/>
          <w:sz w:val="28"/>
          <w:szCs w:val="28"/>
          <w:lang w:bidi="ar"/>
        </w:rPr>
      </w:pPr>
    </w:p>
    <w:p>
      <w:pPr>
        <w:widowControl/>
        <w:spacing w:line="360" w:lineRule="auto"/>
        <w:ind w:firstLine="560" w:firstLineChars="200"/>
        <w:jc w:val="lef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本公司授权</w:t>
      </w:r>
      <w:r>
        <w:rPr>
          <w:rFonts w:hint="eastAsia" w:ascii="宋体" w:hAnsi="宋体" w:eastAsia="宋体" w:cs="宋体"/>
          <w:b/>
          <w:bCs/>
          <w:i/>
          <w:iCs/>
          <w:color w:val="000000"/>
          <w:kern w:val="0"/>
          <w:sz w:val="28"/>
          <w:szCs w:val="28"/>
          <w:u w:val="single"/>
          <w:lang w:bidi="ar"/>
        </w:rPr>
        <w:t>（被授权人的姓名）</w:t>
      </w:r>
      <w:r>
        <w:rPr>
          <w:rFonts w:hint="eastAsia" w:ascii="宋体" w:hAnsi="宋体" w:eastAsia="宋体" w:cs="宋体"/>
          <w:color w:val="000000"/>
          <w:kern w:val="0"/>
          <w:sz w:val="28"/>
          <w:szCs w:val="28"/>
          <w:lang w:bidi="ar"/>
        </w:rPr>
        <w:t>为本公司参与江南大学采购活动的合法代理人， 参加</w:t>
      </w:r>
      <w:r>
        <w:rPr>
          <w:rFonts w:hint="eastAsia" w:ascii="宋体" w:hAnsi="宋体" w:eastAsia="宋体" w:cs="宋体"/>
          <w:b/>
          <w:bCs/>
          <w:i/>
          <w:iCs/>
          <w:color w:val="000000"/>
          <w:kern w:val="0"/>
          <w:sz w:val="28"/>
          <w:szCs w:val="28"/>
          <w:u w:val="single"/>
          <w:lang w:bidi="ar"/>
        </w:rPr>
        <w:t xml:space="preserve">（招标项目名称）     （招标项目编号）    </w:t>
      </w:r>
      <w:r>
        <w:rPr>
          <w:rFonts w:hint="eastAsia" w:ascii="宋体" w:hAnsi="宋体" w:eastAsia="宋体" w:cs="宋体"/>
          <w:color w:val="000000"/>
          <w:kern w:val="0"/>
          <w:sz w:val="28"/>
          <w:szCs w:val="28"/>
          <w:lang w:bidi="ar"/>
        </w:rPr>
        <w:t xml:space="preserve">项目的招标活 动，以本公司名义处理与之有关的一切事务。 </w:t>
      </w:r>
    </w:p>
    <w:p>
      <w:pPr>
        <w:widowControl/>
        <w:spacing w:line="360" w:lineRule="auto"/>
        <w:ind w:firstLine="560" w:firstLineChars="200"/>
        <w:jc w:val="left"/>
        <w:rPr>
          <w:rFonts w:ascii="宋体" w:hAnsi="宋体" w:eastAsia="宋体" w:cs="宋体"/>
          <w:color w:val="000000"/>
          <w:kern w:val="0"/>
          <w:sz w:val="28"/>
          <w:szCs w:val="28"/>
          <w:lang w:bidi="ar"/>
        </w:rPr>
      </w:pPr>
    </w:p>
    <w:p>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供应商名称：</w:t>
      </w:r>
      <w:r>
        <w:rPr>
          <w:rFonts w:hint="eastAsia" w:ascii="宋体" w:hAnsi="宋体" w:eastAsia="宋体" w:cs="宋体"/>
          <w:color w:val="000000"/>
          <w:kern w:val="0"/>
          <w:sz w:val="28"/>
          <w:szCs w:val="28"/>
          <w:u w:val="single"/>
          <w:lang w:bidi="ar"/>
        </w:rPr>
        <w:t xml:space="preserve">                             </w:t>
      </w:r>
      <w:r>
        <w:rPr>
          <w:rFonts w:hint="eastAsia" w:ascii="宋体" w:hAnsi="宋体" w:eastAsia="宋体" w:cs="宋体"/>
          <w:color w:val="000000"/>
          <w:kern w:val="0"/>
          <w:sz w:val="28"/>
          <w:szCs w:val="28"/>
          <w:lang w:bidi="ar"/>
        </w:rPr>
        <w:t xml:space="preserve">（公章） </w:t>
      </w:r>
    </w:p>
    <w:p>
      <w:pPr>
        <w:widowControl/>
        <w:spacing w:line="360" w:lineRule="auto"/>
        <w:ind w:firstLine="560" w:firstLineChars="200"/>
        <w:jc w:val="left"/>
        <w:rPr>
          <w:rFonts w:ascii="宋体" w:hAnsi="宋体" w:eastAsia="宋体" w:cs="宋体"/>
          <w:sz w:val="28"/>
          <w:szCs w:val="28"/>
        </w:rPr>
      </w:pPr>
      <w:r>
        <w:rPr>
          <w:rFonts w:hint="eastAsia" w:ascii="宋体" w:hAnsi="宋体" w:eastAsia="宋体" w:cs="宋体"/>
          <w:color w:val="000000"/>
          <w:kern w:val="0"/>
          <w:sz w:val="28"/>
          <w:szCs w:val="28"/>
          <w:lang w:bidi="ar"/>
        </w:rPr>
        <w:t>日      期：       年     月    日</w:t>
      </w:r>
    </w:p>
    <w:p>
      <w:pPr>
        <w:widowControl/>
        <w:jc w:val="left"/>
        <w:rPr>
          <w:rFonts w:ascii="宋体" w:hAnsi="宋体" w:eastAsia="宋体" w:cs="宋体"/>
          <w:color w:val="000000"/>
          <w:kern w:val="0"/>
          <w:sz w:val="24"/>
          <w:lang w:bidi="ar"/>
        </w:rPr>
      </w:pPr>
    </w:p>
    <w:p>
      <w:pPr>
        <w:widowControl/>
        <w:jc w:val="left"/>
        <w:rPr>
          <w:rFonts w:ascii="宋体" w:hAnsi="宋体" w:eastAsia="宋体" w:cs="宋体"/>
          <w:color w:val="000000"/>
          <w:kern w:val="0"/>
          <w:sz w:val="24"/>
          <w:lang w:bidi="ar"/>
        </w:rPr>
      </w:pPr>
    </w:p>
    <w:p>
      <w:pPr>
        <w:widowControl/>
        <w:jc w:val="left"/>
      </w:pPr>
      <w:r>
        <w:rPr>
          <w:rFonts w:hint="eastAsia" w:ascii="宋体" w:hAnsi="宋体" w:eastAsia="宋体" w:cs="宋体"/>
          <w:color w:val="000000"/>
          <w:kern w:val="0"/>
          <w:sz w:val="24"/>
          <w:lang w:bidi="ar"/>
        </w:rPr>
        <w:t>被授权人身份证正反面复印件粘贴</w:t>
      </w:r>
    </w:p>
    <w:p>
      <w:pPr>
        <w:spacing w:line="360" w:lineRule="auto"/>
        <w:rPr>
          <w:rFonts w:ascii="宋体" w:hAnsi="宋体" w:eastAsia="宋体" w:cs="宋体"/>
          <w:sz w:val="28"/>
          <w:szCs w:val="28"/>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4"/>
        <w:spacing w:before="0" w:after="0" w:line="360" w:lineRule="auto"/>
        <w:rPr>
          <w:rFonts w:asciiTheme="minorEastAsia" w:hAnsiTheme="minorEastAsia"/>
          <w:b w:val="0"/>
          <w:bCs w:val="0"/>
          <w:sz w:val="21"/>
          <w:szCs w:val="21"/>
        </w:rPr>
      </w:pPr>
      <w:bookmarkStart w:id="19" w:name="_Toc510948711"/>
      <w:bookmarkStart w:id="20" w:name="_Toc511029431"/>
    </w:p>
    <w:bookmarkEnd w:id="19"/>
    <w:bookmarkEnd w:id="20"/>
    <w:p>
      <w:pPr>
        <w:rPr>
          <w:sz w:val="24"/>
        </w:rPr>
      </w:pPr>
    </w:p>
    <w:p>
      <w:pPr>
        <w:rPr>
          <w:sz w:val="24"/>
        </w:rPr>
      </w:pPr>
    </w:p>
    <w:p>
      <w:pPr>
        <w:rPr>
          <w:sz w:val="24"/>
        </w:rPr>
      </w:pPr>
      <w:r>
        <w:rPr>
          <w:rFonts w:hint="eastAsia"/>
          <w:sz w:val="24"/>
        </w:rPr>
        <w:t>附件6</w:t>
      </w:r>
    </w:p>
    <w:p>
      <w:pPr>
        <w:spacing w:line="480" w:lineRule="auto"/>
        <w:jc w:val="center"/>
        <w:rPr>
          <w:rFonts w:ascii="黑体" w:hAnsi="黑体" w:eastAsia="黑体" w:cs="黑体"/>
          <w:b/>
          <w:sz w:val="30"/>
          <w:szCs w:val="30"/>
        </w:rPr>
      </w:pPr>
      <w:r>
        <w:rPr>
          <w:rFonts w:hint="eastAsia" w:ascii="黑体" w:hAnsi="黑体" w:eastAsia="黑体" w:cs="黑体"/>
          <w:b/>
          <w:kern w:val="36"/>
          <w:sz w:val="36"/>
          <w:szCs w:val="36"/>
        </w:rPr>
        <w:t>信息化项目分散采购</w:t>
      </w:r>
      <w:r>
        <w:rPr>
          <w:rFonts w:hint="eastAsia" w:ascii="黑体" w:hAnsi="黑体" w:eastAsia="黑体" w:cs="黑体"/>
          <w:b/>
          <w:sz w:val="36"/>
          <w:szCs w:val="36"/>
        </w:rPr>
        <w:t>承诺书</w:t>
      </w:r>
    </w:p>
    <w:p>
      <w:pPr>
        <w:spacing w:line="360" w:lineRule="auto"/>
        <w:rPr>
          <w:b/>
          <w:bCs/>
          <w:sz w:val="30"/>
          <w:szCs w:val="30"/>
        </w:rPr>
      </w:pPr>
      <w:r>
        <w:rPr>
          <w:rFonts w:hint="eastAsia" w:ascii="宋体" w:hAnsi="宋体" w:cs="宋体"/>
          <w:sz w:val="24"/>
        </w:rPr>
        <w:t>江南大学</w:t>
      </w:r>
      <w:r>
        <w:rPr>
          <w:rFonts w:hint="eastAsia" w:ascii="宋体" w:hAnsi="宋体" w:cs="宋体"/>
          <w:kern w:val="0"/>
          <w:sz w:val="24"/>
        </w:rPr>
        <w:t>信息化建设管理处</w:t>
      </w:r>
      <w:r>
        <w:rPr>
          <w:rFonts w:hint="eastAsia" w:ascii="宋体" w:hAnsi="宋体" w:cs="宋体"/>
          <w:sz w:val="24"/>
        </w:rPr>
        <w:t>：</w:t>
      </w:r>
    </w:p>
    <w:p>
      <w:pPr>
        <w:spacing w:line="480" w:lineRule="auto"/>
        <w:rPr>
          <w:rFonts w:asciiTheme="minorEastAsia" w:hAnsiTheme="minorEastAsia" w:cstheme="minorEastAsia"/>
          <w:sz w:val="24"/>
        </w:rPr>
      </w:pPr>
      <w:r>
        <w:rPr>
          <w:rFonts w:hint="eastAsia" w:asciiTheme="minorEastAsia" w:hAnsiTheme="minorEastAsia" w:cstheme="minorEastAsia"/>
          <w:sz w:val="24"/>
        </w:rPr>
        <w:t xml:space="preserve">    对于江南大学采购的_________________________________________项目(项目编号：____________)，本公司承诺如下：</w:t>
      </w:r>
    </w:p>
    <w:p>
      <w:pPr>
        <w:numPr>
          <w:ilvl w:val="0"/>
          <w:numId w:val="14"/>
        </w:num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最终报价为（大写）：_____________________________________________ </w:t>
      </w:r>
    </w:p>
    <w:p>
      <w:pPr>
        <w:numPr>
          <w:ilvl w:val="0"/>
          <w:numId w:val="14"/>
        </w:num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维保期为：___________________________________________________</w:t>
      </w:r>
    </w:p>
    <w:p>
      <w:pPr>
        <w:numPr>
          <w:ilvl w:val="0"/>
          <w:numId w:val="14"/>
        </w:numPr>
        <w:spacing w:line="48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其他承诺：</w:t>
      </w: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rPr>
          <w:rFonts w:asciiTheme="minorEastAsia" w:hAnsiTheme="minorEastAsia" w:cstheme="minorEastAsia"/>
          <w:sz w:val="24"/>
          <w:u w:val="single"/>
        </w:rPr>
      </w:pPr>
      <w:r>
        <w:rPr>
          <w:rFonts w:hint="eastAsia" w:asciiTheme="minorEastAsia" w:hAnsiTheme="minorEastAsia" w:cstheme="minorEastAsia"/>
          <w:sz w:val="24"/>
          <w:u w:val="single"/>
        </w:rPr>
        <w:t xml:space="preserve">                                                                              </w:t>
      </w:r>
    </w:p>
    <w:p>
      <w:pPr>
        <w:spacing w:line="480" w:lineRule="auto"/>
        <w:ind w:left="420" w:leftChars="200"/>
        <w:rPr>
          <w:rFonts w:asciiTheme="minorEastAsia" w:hAnsiTheme="minorEastAsia" w:cstheme="minorEastAsia"/>
          <w:sz w:val="24"/>
        </w:rPr>
      </w:pPr>
    </w:p>
    <w:p>
      <w:pPr>
        <w:spacing w:line="480" w:lineRule="auto"/>
        <w:ind w:left="420" w:leftChars="200"/>
        <w:rPr>
          <w:rFonts w:asciiTheme="minorEastAsia" w:hAnsiTheme="minorEastAsia" w:cstheme="minorEastAsia"/>
          <w:sz w:val="24"/>
        </w:rPr>
      </w:pPr>
      <w:r>
        <w:rPr>
          <w:rFonts w:hint="eastAsia" w:asciiTheme="minorEastAsia" w:hAnsiTheme="minorEastAsia" w:cstheme="minorEastAsia"/>
          <w:sz w:val="24"/>
        </w:rPr>
        <w:t xml:space="preserve">                 </w:t>
      </w:r>
    </w:p>
    <w:p>
      <w:pPr>
        <w:spacing w:line="480" w:lineRule="auto"/>
        <w:ind w:left="420" w:leftChars="200"/>
        <w:jc w:val="center"/>
        <w:rPr>
          <w:rFonts w:asciiTheme="minorEastAsia" w:hAnsiTheme="minorEastAsia" w:cstheme="minorEastAsia"/>
          <w:sz w:val="24"/>
        </w:rPr>
      </w:pPr>
      <w:r>
        <w:rPr>
          <w:rFonts w:hint="eastAsia" w:asciiTheme="minorEastAsia" w:hAnsiTheme="minorEastAsia" w:cstheme="minorEastAsia"/>
          <w:sz w:val="24"/>
        </w:rPr>
        <w:t xml:space="preserve">                           供应商：___________________________</w:t>
      </w:r>
    </w:p>
    <w:p>
      <w:pPr>
        <w:spacing w:line="480" w:lineRule="auto"/>
        <w:ind w:left="420" w:leftChars="200"/>
        <w:jc w:val="right"/>
        <w:rPr>
          <w:rFonts w:asciiTheme="minorEastAsia" w:hAnsiTheme="minorEastAsia" w:cstheme="minorEastAsia"/>
          <w:sz w:val="24"/>
        </w:rPr>
      </w:pPr>
      <w:r>
        <w:rPr>
          <w:rFonts w:hint="eastAsia" w:asciiTheme="minorEastAsia" w:hAnsiTheme="minorEastAsia" w:cstheme="minorEastAsia"/>
          <w:sz w:val="24"/>
        </w:rPr>
        <w:t xml:space="preserve">                             授权代表（签名、盖章）：____________________</w:t>
      </w:r>
    </w:p>
    <w:p>
      <w:pPr>
        <w:spacing w:line="480" w:lineRule="auto"/>
        <w:ind w:left="420" w:leftChars="200"/>
        <w:jc w:val="right"/>
        <w:rPr>
          <w:rFonts w:asciiTheme="minorEastAsia" w:hAnsiTheme="minorEastAsia" w:cstheme="minorEastAsia"/>
          <w:sz w:val="24"/>
        </w:rPr>
      </w:pPr>
      <w:r>
        <w:rPr>
          <w:rFonts w:hint="eastAsia" w:asciiTheme="minorEastAsia" w:hAnsiTheme="minorEastAsia" w:cstheme="minorEastAsia"/>
          <w:sz w:val="24"/>
        </w:rPr>
        <w:t xml:space="preserve">                                              年      月     日</w:t>
      </w: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FKai-SB">
    <w:altName w:val="Microsoft JhengHei Light"/>
    <w:panose1 w:val="00000000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Consolas">
    <w:panose1 w:val="020B0609020204030204"/>
    <w:charset w:val="00"/>
    <w:family w:val="auto"/>
    <w:pitch w:val="default"/>
    <w:sig w:usb0="E00006FF" w:usb1="0000FCFF" w:usb2="00000001" w:usb3="00000000" w:csb0="6000019F" w:csb1="DFD70000"/>
  </w:font>
  <w:font w:name="Helvetica Neue">
    <w:altName w:val="Times New Roman"/>
    <w:panose1 w:val="00000000000000000000"/>
    <w:charset w:val="00"/>
    <w:family w:val="roman"/>
    <w:pitch w:val="default"/>
    <w:sig w:usb0="00000000" w:usb1="00000000" w:usb2="00000010" w:usb3="00000000" w:csb0="00000000" w:csb1="00000000"/>
  </w:font>
  <w:font w:name="Arial Unicode MS">
    <w:panose1 w:val="020B0604020202020204"/>
    <w:charset w:val="86"/>
    <w:family w:val="roman"/>
    <w:pitch w:val="default"/>
    <w:sig w:usb0="FFFFFFFF" w:usb1="E9FFFFFF" w:usb2="0000003F" w:usb3="00000000" w:csb0="603F01FF" w:csb1="FFFF0000"/>
  </w:font>
  <w:font w:name="icomoon">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5485895"/>
    </w:sdtPr>
    <w:sdtContent>
      <w:p>
        <w:pPr>
          <w:pStyle w:val="2"/>
          <w:jc w:val="center"/>
        </w:pPr>
        <w:r>
          <w:fldChar w:fldCharType="begin"/>
        </w:r>
        <w:r>
          <w:instrText xml:space="preserve">PAGE   \* MERGEFORMAT</w:instrText>
        </w:r>
        <w:r>
          <w:fldChar w:fldCharType="separate"/>
        </w:r>
        <w:r>
          <w:t>2</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929910"/>
    </w:sdtPr>
    <w:sdtContent>
      <w:p>
        <w:pPr>
          <w:pStyle w:val="2"/>
          <w:jc w:val="center"/>
        </w:pPr>
        <w:r>
          <w:fldChar w:fldCharType="begin"/>
        </w:r>
        <w:r>
          <w:instrText xml:space="preserve">PAGE   \* MERGEFORMAT</w:instrText>
        </w:r>
        <w:r>
          <w:fldChar w:fldCharType="separate"/>
        </w:r>
        <w:r>
          <w:t>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4C778"/>
    <w:multiLevelType w:val="multilevel"/>
    <w:tmpl w:val="9D94C77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B41BD71"/>
    <w:multiLevelType w:val="singleLevel"/>
    <w:tmpl w:val="CB41BD71"/>
    <w:lvl w:ilvl="0" w:tentative="0">
      <w:start w:val="1"/>
      <w:numFmt w:val="decimal"/>
      <w:lvlText w:val="(%1)"/>
      <w:lvlJc w:val="left"/>
      <w:pPr>
        <w:tabs>
          <w:tab w:val="left" w:pos="420"/>
        </w:tabs>
        <w:ind w:left="845" w:hanging="425"/>
      </w:pPr>
      <w:rPr>
        <w:rFonts w:hint="default"/>
      </w:rPr>
    </w:lvl>
  </w:abstractNum>
  <w:abstractNum w:abstractNumId="2">
    <w:nsid w:val="E831D10D"/>
    <w:multiLevelType w:val="singleLevel"/>
    <w:tmpl w:val="E831D10D"/>
    <w:lvl w:ilvl="0" w:tentative="0">
      <w:start w:val="1"/>
      <w:numFmt w:val="chineseCounting"/>
      <w:suff w:val="nothing"/>
      <w:lvlText w:val="%1、"/>
      <w:lvlJc w:val="left"/>
      <w:pPr>
        <w:ind w:left="0" w:firstLine="420"/>
      </w:pPr>
      <w:rPr>
        <w:rFonts w:hint="eastAsia"/>
      </w:rPr>
    </w:lvl>
  </w:abstractNum>
  <w:abstractNum w:abstractNumId="3">
    <w:nsid w:val="E87998D1"/>
    <w:multiLevelType w:val="singleLevel"/>
    <w:tmpl w:val="E87998D1"/>
    <w:lvl w:ilvl="0" w:tentative="0">
      <w:start w:val="1"/>
      <w:numFmt w:val="chineseCounting"/>
      <w:suff w:val="nothing"/>
      <w:lvlText w:val="%1、"/>
      <w:lvlJc w:val="left"/>
      <w:pPr>
        <w:ind w:left="0" w:firstLine="420"/>
      </w:pPr>
      <w:rPr>
        <w:rFonts w:hint="eastAsia"/>
      </w:rPr>
    </w:lvl>
  </w:abstractNum>
  <w:abstractNum w:abstractNumId="4">
    <w:nsid w:val="F29984E5"/>
    <w:multiLevelType w:val="singleLevel"/>
    <w:tmpl w:val="F29984E5"/>
    <w:lvl w:ilvl="0" w:tentative="0">
      <w:start w:val="1"/>
      <w:numFmt w:val="decimal"/>
      <w:lvlText w:val="%1."/>
      <w:lvlJc w:val="left"/>
      <w:pPr>
        <w:tabs>
          <w:tab w:val="left" w:pos="312"/>
        </w:tabs>
      </w:pPr>
      <w:rPr>
        <w:rFonts w:hint="default"/>
        <w:b w:val="0"/>
        <w:bCs w:val="0"/>
      </w:rPr>
    </w:lvl>
  </w:abstractNum>
  <w:abstractNum w:abstractNumId="5">
    <w:nsid w:val="00000425"/>
    <w:multiLevelType w:val="multilevel"/>
    <w:tmpl w:val="00000425"/>
    <w:lvl w:ilvl="0" w:tentative="0">
      <w:start w:val="0"/>
      <w:numFmt w:val="bullet"/>
      <w:lvlText w:val=""/>
      <w:lvlJc w:val="left"/>
      <w:pPr>
        <w:ind w:left="302" w:hanging="219"/>
      </w:pPr>
      <w:rPr>
        <w:rFonts w:ascii="Wingdings" w:hAnsi="Wingdings" w:cs="Wingdings"/>
        <w:b w:val="0"/>
        <w:bCs w:val="0"/>
        <w:spacing w:val="4"/>
        <w:w w:val="100"/>
        <w:sz w:val="22"/>
        <w:szCs w:val="22"/>
      </w:rPr>
    </w:lvl>
    <w:lvl w:ilvl="1" w:tentative="0">
      <w:start w:val="0"/>
      <w:numFmt w:val="bullet"/>
      <w:lvlText w:val="•"/>
      <w:lvlJc w:val="left"/>
      <w:pPr>
        <w:ind w:left="553" w:hanging="219"/>
      </w:pPr>
    </w:lvl>
    <w:lvl w:ilvl="2" w:tentative="0">
      <w:start w:val="0"/>
      <w:numFmt w:val="bullet"/>
      <w:lvlText w:val="•"/>
      <w:lvlJc w:val="left"/>
      <w:pPr>
        <w:ind w:left="807" w:hanging="219"/>
      </w:pPr>
    </w:lvl>
    <w:lvl w:ilvl="3" w:tentative="0">
      <w:start w:val="0"/>
      <w:numFmt w:val="bullet"/>
      <w:lvlText w:val="•"/>
      <w:lvlJc w:val="left"/>
      <w:pPr>
        <w:ind w:left="1060" w:hanging="219"/>
      </w:pPr>
    </w:lvl>
    <w:lvl w:ilvl="4" w:tentative="0">
      <w:start w:val="0"/>
      <w:numFmt w:val="bullet"/>
      <w:lvlText w:val="•"/>
      <w:lvlJc w:val="left"/>
      <w:pPr>
        <w:ind w:left="1314" w:hanging="219"/>
      </w:pPr>
    </w:lvl>
    <w:lvl w:ilvl="5" w:tentative="0">
      <w:start w:val="0"/>
      <w:numFmt w:val="bullet"/>
      <w:lvlText w:val="•"/>
      <w:lvlJc w:val="left"/>
      <w:pPr>
        <w:ind w:left="1568" w:hanging="219"/>
      </w:pPr>
    </w:lvl>
    <w:lvl w:ilvl="6" w:tentative="0">
      <w:start w:val="0"/>
      <w:numFmt w:val="bullet"/>
      <w:lvlText w:val="•"/>
      <w:lvlJc w:val="left"/>
      <w:pPr>
        <w:ind w:left="1821" w:hanging="219"/>
      </w:pPr>
    </w:lvl>
    <w:lvl w:ilvl="7" w:tentative="0">
      <w:start w:val="0"/>
      <w:numFmt w:val="bullet"/>
      <w:lvlText w:val="•"/>
      <w:lvlJc w:val="left"/>
      <w:pPr>
        <w:ind w:left="2075" w:hanging="219"/>
      </w:pPr>
    </w:lvl>
    <w:lvl w:ilvl="8" w:tentative="0">
      <w:start w:val="0"/>
      <w:numFmt w:val="bullet"/>
      <w:lvlText w:val="•"/>
      <w:lvlJc w:val="left"/>
      <w:pPr>
        <w:ind w:left="2328" w:hanging="219"/>
      </w:pPr>
    </w:lvl>
  </w:abstractNum>
  <w:abstractNum w:abstractNumId="6">
    <w:nsid w:val="00000426"/>
    <w:multiLevelType w:val="multilevel"/>
    <w:tmpl w:val="00000426"/>
    <w:lvl w:ilvl="0" w:tentative="0">
      <w:start w:val="0"/>
      <w:numFmt w:val="bullet"/>
      <w:lvlText w:val=""/>
      <w:lvlJc w:val="left"/>
      <w:pPr>
        <w:ind w:left="283" w:hanging="221"/>
      </w:pPr>
      <w:rPr>
        <w:rFonts w:ascii="Wingdings" w:hAnsi="Wingdings" w:cs="Wingdings"/>
        <w:b w:val="0"/>
        <w:bCs w:val="0"/>
        <w:spacing w:val="6"/>
        <w:w w:val="100"/>
        <w:sz w:val="22"/>
        <w:szCs w:val="22"/>
      </w:rPr>
    </w:lvl>
    <w:lvl w:ilvl="1" w:tentative="0">
      <w:start w:val="0"/>
      <w:numFmt w:val="bullet"/>
      <w:lvlText w:val="•"/>
      <w:lvlJc w:val="left"/>
      <w:pPr>
        <w:ind w:left="780" w:hanging="221"/>
      </w:pPr>
    </w:lvl>
    <w:lvl w:ilvl="2" w:tentative="0">
      <w:start w:val="0"/>
      <w:numFmt w:val="bullet"/>
      <w:lvlText w:val="•"/>
      <w:lvlJc w:val="left"/>
      <w:pPr>
        <w:ind w:left="1281" w:hanging="221"/>
      </w:pPr>
    </w:lvl>
    <w:lvl w:ilvl="3" w:tentative="0">
      <w:start w:val="0"/>
      <w:numFmt w:val="bullet"/>
      <w:lvlText w:val="•"/>
      <w:lvlJc w:val="left"/>
      <w:pPr>
        <w:ind w:left="1782" w:hanging="221"/>
      </w:pPr>
    </w:lvl>
    <w:lvl w:ilvl="4" w:tentative="0">
      <w:start w:val="0"/>
      <w:numFmt w:val="bullet"/>
      <w:lvlText w:val="•"/>
      <w:lvlJc w:val="left"/>
      <w:pPr>
        <w:ind w:left="2283" w:hanging="221"/>
      </w:pPr>
    </w:lvl>
    <w:lvl w:ilvl="5" w:tentative="0">
      <w:start w:val="0"/>
      <w:numFmt w:val="bullet"/>
      <w:lvlText w:val="•"/>
      <w:lvlJc w:val="left"/>
      <w:pPr>
        <w:ind w:left="2784" w:hanging="221"/>
      </w:pPr>
    </w:lvl>
    <w:lvl w:ilvl="6" w:tentative="0">
      <w:start w:val="0"/>
      <w:numFmt w:val="bullet"/>
      <w:lvlText w:val="•"/>
      <w:lvlJc w:val="left"/>
      <w:pPr>
        <w:ind w:left="3285" w:hanging="221"/>
      </w:pPr>
    </w:lvl>
    <w:lvl w:ilvl="7" w:tentative="0">
      <w:start w:val="0"/>
      <w:numFmt w:val="bullet"/>
      <w:lvlText w:val="•"/>
      <w:lvlJc w:val="left"/>
      <w:pPr>
        <w:ind w:left="3786" w:hanging="221"/>
      </w:pPr>
    </w:lvl>
    <w:lvl w:ilvl="8" w:tentative="0">
      <w:start w:val="0"/>
      <w:numFmt w:val="bullet"/>
      <w:lvlText w:val="•"/>
      <w:lvlJc w:val="left"/>
      <w:pPr>
        <w:ind w:left="4287" w:hanging="221"/>
      </w:pPr>
    </w:lvl>
  </w:abstractNum>
  <w:abstractNum w:abstractNumId="7">
    <w:nsid w:val="00000427"/>
    <w:multiLevelType w:val="multilevel"/>
    <w:tmpl w:val="00000427"/>
    <w:lvl w:ilvl="0" w:tentative="0">
      <w:start w:val="0"/>
      <w:numFmt w:val="bullet"/>
      <w:lvlText w:val=""/>
      <w:lvlJc w:val="left"/>
      <w:pPr>
        <w:ind w:left="302" w:hanging="219"/>
      </w:pPr>
      <w:rPr>
        <w:rFonts w:ascii="Wingdings" w:hAnsi="Wingdings" w:cs="Wingdings"/>
        <w:b w:val="0"/>
        <w:bCs w:val="0"/>
        <w:spacing w:val="4"/>
        <w:w w:val="100"/>
        <w:sz w:val="22"/>
        <w:szCs w:val="22"/>
      </w:rPr>
    </w:lvl>
    <w:lvl w:ilvl="1" w:tentative="0">
      <w:start w:val="0"/>
      <w:numFmt w:val="bullet"/>
      <w:lvlText w:val="•"/>
      <w:lvlJc w:val="left"/>
      <w:pPr>
        <w:ind w:left="553" w:hanging="219"/>
      </w:pPr>
    </w:lvl>
    <w:lvl w:ilvl="2" w:tentative="0">
      <w:start w:val="0"/>
      <w:numFmt w:val="bullet"/>
      <w:lvlText w:val="•"/>
      <w:lvlJc w:val="left"/>
      <w:pPr>
        <w:ind w:left="807" w:hanging="219"/>
      </w:pPr>
    </w:lvl>
    <w:lvl w:ilvl="3" w:tentative="0">
      <w:start w:val="0"/>
      <w:numFmt w:val="bullet"/>
      <w:lvlText w:val="•"/>
      <w:lvlJc w:val="left"/>
      <w:pPr>
        <w:ind w:left="1060" w:hanging="219"/>
      </w:pPr>
    </w:lvl>
    <w:lvl w:ilvl="4" w:tentative="0">
      <w:start w:val="0"/>
      <w:numFmt w:val="bullet"/>
      <w:lvlText w:val="•"/>
      <w:lvlJc w:val="left"/>
      <w:pPr>
        <w:ind w:left="1314" w:hanging="219"/>
      </w:pPr>
    </w:lvl>
    <w:lvl w:ilvl="5" w:tentative="0">
      <w:start w:val="0"/>
      <w:numFmt w:val="bullet"/>
      <w:lvlText w:val="•"/>
      <w:lvlJc w:val="left"/>
      <w:pPr>
        <w:ind w:left="1568" w:hanging="219"/>
      </w:pPr>
    </w:lvl>
    <w:lvl w:ilvl="6" w:tentative="0">
      <w:start w:val="0"/>
      <w:numFmt w:val="bullet"/>
      <w:lvlText w:val="•"/>
      <w:lvlJc w:val="left"/>
      <w:pPr>
        <w:ind w:left="1821" w:hanging="219"/>
      </w:pPr>
    </w:lvl>
    <w:lvl w:ilvl="7" w:tentative="0">
      <w:start w:val="0"/>
      <w:numFmt w:val="bullet"/>
      <w:lvlText w:val="•"/>
      <w:lvlJc w:val="left"/>
      <w:pPr>
        <w:ind w:left="2075" w:hanging="219"/>
      </w:pPr>
    </w:lvl>
    <w:lvl w:ilvl="8" w:tentative="0">
      <w:start w:val="0"/>
      <w:numFmt w:val="bullet"/>
      <w:lvlText w:val="•"/>
      <w:lvlJc w:val="left"/>
      <w:pPr>
        <w:ind w:left="2328" w:hanging="219"/>
      </w:pPr>
    </w:lvl>
  </w:abstractNum>
  <w:abstractNum w:abstractNumId="8">
    <w:nsid w:val="00000428"/>
    <w:multiLevelType w:val="multilevel"/>
    <w:tmpl w:val="00000428"/>
    <w:lvl w:ilvl="0" w:tentative="0">
      <w:start w:val="0"/>
      <w:numFmt w:val="bullet"/>
      <w:lvlText w:val=""/>
      <w:lvlJc w:val="left"/>
      <w:pPr>
        <w:ind w:left="283" w:hanging="221"/>
      </w:pPr>
      <w:rPr>
        <w:rFonts w:ascii="Wingdings" w:hAnsi="Wingdings" w:cs="Wingdings"/>
        <w:b w:val="0"/>
        <w:bCs w:val="0"/>
        <w:spacing w:val="6"/>
        <w:w w:val="100"/>
        <w:sz w:val="22"/>
        <w:szCs w:val="22"/>
      </w:rPr>
    </w:lvl>
    <w:lvl w:ilvl="1" w:tentative="0">
      <w:start w:val="0"/>
      <w:numFmt w:val="bullet"/>
      <w:lvlText w:val="•"/>
      <w:lvlJc w:val="left"/>
      <w:pPr>
        <w:ind w:left="780" w:hanging="221"/>
      </w:pPr>
    </w:lvl>
    <w:lvl w:ilvl="2" w:tentative="0">
      <w:start w:val="0"/>
      <w:numFmt w:val="bullet"/>
      <w:lvlText w:val="•"/>
      <w:lvlJc w:val="left"/>
      <w:pPr>
        <w:ind w:left="1281" w:hanging="221"/>
      </w:pPr>
    </w:lvl>
    <w:lvl w:ilvl="3" w:tentative="0">
      <w:start w:val="0"/>
      <w:numFmt w:val="bullet"/>
      <w:lvlText w:val="•"/>
      <w:lvlJc w:val="left"/>
      <w:pPr>
        <w:ind w:left="1782" w:hanging="221"/>
      </w:pPr>
    </w:lvl>
    <w:lvl w:ilvl="4" w:tentative="0">
      <w:start w:val="0"/>
      <w:numFmt w:val="bullet"/>
      <w:lvlText w:val="•"/>
      <w:lvlJc w:val="left"/>
      <w:pPr>
        <w:ind w:left="2283" w:hanging="221"/>
      </w:pPr>
    </w:lvl>
    <w:lvl w:ilvl="5" w:tentative="0">
      <w:start w:val="0"/>
      <w:numFmt w:val="bullet"/>
      <w:lvlText w:val="•"/>
      <w:lvlJc w:val="left"/>
      <w:pPr>
        <w:ind w:left="2784" w:hanging="221"/>
      </w:pPr>
    </w:lvl>
    <w:lvl w:ilvl="6" w:tentative="0">
      <w:start w:val="0"/>
      <w:numFmt w:val="bullet"/>
      <w:lvlText w:val="•"/>
      <w:lvlJc w:val="left"/>
      <w:pPr>
        <w:ind w:left="3285" w:hanging="221"/>
      </w:pPr>
    </w:lvl>
    <w:lvl w:ilvl="7" w:tentative="0">
      <w:start w:val="0"/>
      <w:numFmt w:val="bullet"/>
      <w:lvlText w:val="•"/>
      <w:lvlJc w:val="left"/>
      <w:pPr>
        <w:ind w:left="3786" w:hanging="221"/>
      </w:pPr>
    </w:lvl>
    <w:lvl w:ilvl="8" w:tentative="0">
      <w:start w:val="0"/>
      <w:numFmt w:val="bullet"/>
      <w:lvlText w:val="•"/>
      <w:lvlJc w:val="left"/>
      <w:pPr>
        <w:ind w:left="4287" w:hanging="221"/>
      </w:pPr>
    </w:lvl>
  </w:abstractNum>
  <w:abstractNum w:abstractNumId="9">
    <w:nsid w:val="00000429"/>
    <w:multiLevelType w:val="multilevel"/>
    <w:tmpl w:val="00000429"/>
    <w:lvl w:ilvl="0" w:tentative="0">
      <w:start w:val="0"/>
      <w:numFmt w:val="bullet"/>
      <w:lvlText w:val=""/>
      <w:lvlJc w:val="left"/>
      <w:pPr>
        <w:ind w:left="302" w:hanging="219"/>
      </w:pPr>
      <w:rPr>
        <w:rFonts w:ascii="Wingdings" w:hAnsi="Wingdings" w:cs="Wingdings"/>
        <w:b w:val="0"/>
        <w:bCs w:val="0"/>
        <w:spacing w:val="4"/>
        <w:w w:val="100"/>
        <w:sz w:val="22"/>
        <w:szCs w:val="22"/>
      </w:rPr>
    </w:lvl>
    <w:lvl w:ilvl="1" w:tentative="0">
      <w:start w:val="0"/>
      <w:numFmt w:val="bullet"/>
      <w:lvlText w:val="•"/>
      <w:lvlJc w:val="left"/>
      <w:pPr>
        <w:ind w:left="553" w:hanging="219"/>
      </w:pPr>
    </w:lvl>
    <w:lvl w:ilvl="2" w:tentative="0">
      <w:start w:val="0"/>
      <w:numFmt w:val="bullet"/>
      <w:lvlText w:val="•"/>
      <w:lvlJc w:val="left"/>
      <w:pPr>
        <w:ind w:left="807" w:hanging="219"/>
      </w:pPr>
    </w:lvl>
    <w:lvl w:ilvl="3" w:tentative="0">
      <w:start w:val="0"/>
      <w:numFmt w:val="bullet"/>
      <w:lvlText w:val="•"/>
      <w:lvlJc w:val="left"/>
      <w:pPr>
        <w:ind w:left="1060" w:hanging="219"/>
      </w:pPr>
    </w:lvl>
    <w:lvl w:ilvl="4" w:tentative="0">
      <w:start w:val="0"/>
      <w:numFmt w:val="bullet"/>
      <w:lvlText w:val="•"/>
      <w:lvlJc w:val="left"/>
      <w:pPr>
        <w:ind w:left="1314" w:hanging="219"/>
      </w:pPr>
    </w:lvl>
    <w:lvl w:ilvl="5" w:tentative="0">
      <w:start w:val="0"/>
      <w:numFmt w:val="bullet"/>
      <w:lvlText w:val="•"/>
      <w:lvlJc w:val="left"/>
      <w:pPr>
        <w:ind w:left="1568" w:hanging="219"/>
      </w:pPr>
    </w:lvl>
    <w:lvl w:ilvl="6" w:tentative="0">
      <w:start w:val="0"/>
      <w:numFmt w:val="bullet"/>
      <w:lvlText w:val="•"/>
      <w:lvlJc w:val="left"/>
      <w:pPr>
        <w:ind w:left="1821" w:hanging="219"/>
      </w:pPr>
    </w:lvl>
    <w:lvl w:ilvl="7" w:tentative="0">
      <w:start w:val="0"/>
      <w:numFmt w:val="bullet"/>
      <w:lvlText w:val="•"/>
      <w:lvlJc w:val="left"/>
      <w:pPr>
        <w:ind w:left="2075" w:hanging="219"/>
      </w:pPr>
    </w:lvl>
    <w:lvl w:ilvl="8" w:tentative="0">
      <w:start w:val="0"/>
      <w:numFmt w:val="bullet"/>
      <w:lvlText w:val="•"/>
      <w:lvlJc w:val="left"/>
      <w:pPr>
        <w:ind w:left="2328" w:hanging="219"/>
      </w:pPr>
    </w:lvl>
  </w:abstractNum>
  <w:abstractNum w:abstractNumId="10">
    <w:nsid w:val="0000042A"/>
    <w:multiLevelType w:val="multilevel"/>
    <w:tmpl w:val="0000042A"/>
    <w:lvl w:ilvl="0" w:tentative="0">
      <w:start w:val="0"/>
      <w:numFmt w:val="bullet"/>
      <w:lvlText w:val=""/>
      <w:lvlJc w:val="left"/>
      <w:pPr>
        <w:ind w:left="283" w:hanging="221"/>
      </w:pPr>
      <w:rPr>
        <w:rFonts w:ascii="Wingdings" w:hAnsi="Wingdings" w:cs="Wingdings"/>
        <w:b w:val="0"/>
        <w:bCs w:val="0"/>
        <w:spacing w:val="6"/>
        <w:w w:val="100"/>
        <w:sz w:val="22"/>
        <w:szCs w:val="22"/>
      </w:rPr>
    </w:lvl>
    <w:lvl w:ilvl="1" w:tentative="0">
      <w:start w:val="0"/>
      <w:numFmt w:val="bullet"/>
      <w:lvlText w:val="•"/>
      <w:lvlJc w:val="left"/>
      <w:pPr>
        <w:ind w:left="780" w:hanging="221"/>
      </w:pPr>
    </w:lvl>
    <w:lvl w:ilvl="2" w:tentative="0">
      <w:start w:val="0"/>
      <w:numFmt w:val="bullet"/>
      <w:lvlText w:val="•"/>
      <w:lvlJc w:val="left"/>
      <w:pPr>
        <w:ind w:left="1281" w:hanging="221"/>
      </w:pPr>
    </w:lvl>
    <w:lvl w:ilvl="3" w:tentative="0">
      <w:start w:val="0"/>
      <w:numFmt w:val="bullet"/>
      <w:lvlText w:val="•"/>
      <w:lvlJc w:val="left"/>
      <w:pPr>
        <w:ind w:left="1782" w:hanging="221"/>
      </w:pPr>
    </w:lvl>
    <w:lvl w:ilvl="4" w:tentative="0">
      <w:start w:val="0"/>
      <w:numFmt w:val="bullet"/>
      <w:lvlText w:val="•"/>
      <w:lvlJc w:val="left"/>
      <w:pPr>
        <w:ind w:left="2283" w:hanging="221"/>
      </w:pPr>
    </w:lvl>
    <w:lvl w:ilvl="5" w:tentative="0">
      <w:start w:val="0"/>
      <w:numFmt w:val="bullet"/>
      <w:lvlText w:val="•"/>
      <w:lvlJc w:val="left"/>
      <w:pPr>
        <w:ind w:left="2784" w:hanging="221"/>
      </w:pPr>
    </w:lvl>
    <w:lvl w:ilvl="6" w:tentative="0">
      <w:start w:val="0"/>
      <w:numFmt w:val="bullet"/>
      <w:lvlText w:val="•"/>
      <w:lvlJc w:val="left"/>
      <w:pPr>
        <w:ind w:left="3285" w:hanging="221"/>
      </w:pPr>
    </w:lvl>
    <w:lvl w:ilvl="7" w:tentative="0">
      <w:start w:val="0"/>
      <w:numFmt w:val="bullet"/>
      <w:lvlText w:val="•"/>
      <w:lvlJc w:val="left"/>
      <w:pPr>
        <w:ind w:left="3786" w:hanging="221"/>
      </w:pPr>
    </w:lvl>
    <w:lvl w:ilvl="8" w:tentative="0">
      <w:start w:val="0"/>
      <w:numFmt w:val="bullet"/>
      <w:lvlText w:val="•"/>
      <w:lvlJc w:val="left"/>
      <w:pPr>
        <w:ind w:left="4287" w:hanging="221"/>
      </w:pPr>
    </w:lvl>
  </w:abstractNum>
  <w:abstractNum w:abstractNumId="11">
    <w:nsid w:val="0000042B"/>
    <w:multiLevelType w:val="multilevel"/>
    <w:tmpl w:val="0000042B"/>
    <w:lvl w:ilvl="0" w:tentative="0">
      <w:start w:val="0"/>
      <w:numFmt w:val="bullet"/>
      <w:lvlText w:val=""/>
      <w:lvlJc w:val="left"/>
      <w:pPr>
        <w:ind w:left="302" w:hanging="219"/>
      </w:pPr>
      <w:rPr>
        <w:rFonts w:ascii="Wingdings" w:hAnsi="Wingdings" w:cs="Wingdings"/>
        <w:b w:val="0"/>
        <w:bCs w:val="0"/>
        <w:spacing w:val="4"/>
        <w:w w:val="100"/>
        <w:sz w:val="22"/>
        <w:szCs w:val="22"/>
      </w:rPr>
    </w:lvl>
    <w:lvl w:ilvl="1" w:tentative="0">
      <w:start w:val="0"/>
      <w:numFmt w:val="bullet"/>
      <w:lvlText w:val="•"/>
      <w:lvlJc w:val="left"/>
      <w:pPr>
        <w:ind w:left="553" w:hanging="219"/>
      </w:pPr>
    </w:lvl>
    <w:lvl w:ilvl="2" w:tentative="0">
      <w:start w:val="0"/>
      <w:numFmt w:val="bullet"/>
      <w:lvlText w:val="•"/>
      <w:lvlJc w:val="left"/>
      <w:pPr>
        <w:ind w:left="807" w:hanging="219"/>
      </w:pPr>
    </w:lvl>
    <w:lvl w:ilvl="3" w:tentative="0">
      <w:start w:val="0"/>
      <w:numFmt w:val="bullet"/>
      <w:lvlText w:val="•"/>
      <w:lvlJc w:val="left"/>
      <w:pPr>
        <w:ind w:left="1060" w:hanging="219"/>
      </w:pPr>
    </w:lvl>
    <w:lvl w:ilvl="4" w:tentative="0">
      <w:start w:val="0"/>
      <w:numFmt w:val="bullet"/>
      <w:lvlText w:val="•"/>
      <w:lvlJc w:val="left"/>
      <w:pPr>
        <w:ind w:left="1314" w:hanging="219"/>
      </w:pPr>
    </w:lvl>
    <w:lvl w:ilvl="5" w:tentative="0">
      <w:start w:val="0"/>
      <w:numFmt w:val="bullet"/>
      <w:lvlText w:val="•"/>
      <w:lvlJc w:val="left"/>
      <w:pPr>
        <w:ind w:left="1568" w:hanging="219"/>
      </w:pPr>
    </w:lvl>
    <w:lvl w:ilvl="6" w:tentative="0">
      <w:start w:val="0"/>
      <w:numFmt w:val="bullet"/>
      <w:lvlText w:val="•"/>
      <w:lvlJc w:val="left"/>
      <w:pPr>
        <w:ind w:left="1821" w:hanging="219"/>
      </w:pPr>
    </w:lvl>
    <w:lvl w:ilvl="7" w:tentative="0">
      <w:start w:val="0"/>
      <w:numFmt w:val="bullet"/>
      <w:lvlText w:val="•"/>
      <w:lvlJc w:val="left"/>
      <w:pPr>
        <w:ind w:left="2075" w:hanging="219"/>
      </w:pPr>
    </w:lvl>
    <w:lvl w:ilvl="8" w:tentative="0">
      <w:start w:val="0"/>
      <w:numFmt w:val="bullet"/>
      <w:lvlText w:val="•"/>
      <w:lvlJc w:val="left"/>
      <w:pPr>
        <w:ind w:left="2328" w:hanging="219"/>
      </w:pPr>
    </w:lvl>
  </w:abstractNum>
  <w:abstractNum w:abstractNumId="12">
    <w:nsid w:val="0000042C"/>
    <w:multiLevelType w:val="multilevel"/>
    <w:tmpl w:val="0000042C"/>
    <w:lvl w:ilvl="0" w:tentative="0">
      <w:start w:val="0"/>
      <w:numFmt w:val="bullet"/>
      <w:lvlText w:val=""/>
      <w:lvlJc w:val="left"/>
      <w:pPr>
        <w:ind w:left="283" w:hanging="221"/>
      </w:pPr>
      <w:rPr>
        <w:rFonts w:ascii="Wingdings" w:hAnsi="Wingdings" w:cs="Wingdings"/>
        <w:b w:val="0"/>
        <w:bCs w:val="0"/>
        <w:spacing w:val="6"/>
        <w:w w:val="100"/>
        <w:sz w:val="22"/>
        <w:szCs w:val="22"/>
      </w:rPr>
    </w:lvl>
    <w:lvl w:ilvl="1" w:tentative="0">
      <w:start w:val="0"/>
      <w:numFmt w:val="bullet"/>
      <w:lvlText w:val="•"/>
      <w:lvlJc w:val="left"/>
      <w:pPr>
        <w:ind w:left="780" w:hanging="221"/>
      </w:pPr>
    </w:lvl>
    <w:lvl w:ilvl="2" w:tentative="0">
      <w:start w:val="0"/>
      <w:numFmt w:val="bullet"/>
      <w:lvlText w:val="•"/>
      <w:lvlJc w:val="left"/>
      <w:pPr>
        <w:ind w:left="1281" w:hanging="221"/>
      </w:pPr>
    </w:lvl>
    <w:lvl w:ilvl="3" w:tentative="0">
      <w:start w:val="0"/>
      <w:numFmt w:val="bullet"/>
      <w:lvlText w:val="•"/>
      <w:lvlJc w:val="left"/>
      <w:pPr>
        <w:ind w:left="1782" w:hanging="221"/>
      </w:pPr>
    </w:lvl>
    <w:lvl w:ilvl="4" w:tentative="0">
      <w:start w:val="0"/>
      <w:numFmt w:val="bullet"/>
      <w:lvlText w:val="•"/>
      <w:lvlJc w:val="left"/>
      <w:pPr>
        <w:ind w:left="2283" w:hanging="221"/>
      </w:pPr>
    </w:lvl>
    <w:lvl w:ilvl="5" w:tentative="0">
      <w:start w:val="0"/>
      <w:numFmt w:val="bullet"/>
      <w:lvlText w:val="•"/>
      <w:lvlJc w:val="left"/>
      <w:pPr>
        <w:ind w:left="2784" w:hanging="221"/>
      </w:pPr>
    </w:lvl>
    <w:lvl w:ilvl="6" w:tentative="0">
      <w:start w:val="0"/>
      <w:numFmt w:val="bullet"/>
      <w:lvlText w:val="•"/>
      <w:lvlJc w:val="left"/>
      <w:pPr>
        <w:ind w:left="3285" w:hanging="221"/>
      </w:pPr>
    </w:lvl>
    <w:lvl w:ilvl="7" w:tentative="0">
      <w:start w:val="0"/>
      <w:numFmt w:val="bullet"/>
      <w:lvlText w:val="•"/>
      <w:lvlJc w:val="left"/>
      <w:pPr>
        <w:ind w:left="3786" w:hanging="221"/>
      </w:pPr>
    </w:lvl>
    <w:lvl w:ilvl="8" w:tentative="0">
      <w:start w:val="0"/>
      <w:numFmt w:val="bullet"/>
      <w:lvlText w:val="•"/>
      <w:lvlJc w:val="left"/>
      <w:pPr>
        <w:ind w:left="4287" w:hanging="221"/>
      </w:pPr>
    </w:lvl>
  </w:abstractNum>
  <w:abstractNum w:abstractNumId="13">
    <w:nsid w:val="152FE204"/>
    <w:multiLevelType w:val="singleLevel"/>
    <w:tmpl w:val="152FE204"/>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WZlMDA0MDljMWE4ODc5ZTkxNjllNmNlMDhlZTUifQ=="/>
    <w:docVar w:name="KSO_WPS_MARK_KEY" w:val="ff1e0370-22f8-4dce-8d72-0e1ffc332440"/>
  </w:docVars>
  <w:rsids>
    <w:rsidRoot w:val="00C6722A"/>
    <w:rsid w:val="00163B36"/>
    <w:rsid w:val="001C1E7A"/>
    <w:rsid w:val="00273BE2"/>
    <w:rsid w:val="002D35D7"/>
    <w:rsid w:val="003156B4"/>
    <w:rsid w:val="00363DD2"/>
    <w:rsid w:val="00402650"/>
    <w:rsid w:val="00416A33"/>
    <w:rsid w:val="004200B5"/>
    <w:rsid w:val="00435660"/>
    <w:rsid w:val="00446427"/>
    <w:rsid w:val="004E482C"/>
    <w:rsid w:val="004F5B91"/>
    <w:rsid w:val="0057338E"/>
    <w:rsid w:val="0057731B"/>
    <w:rsid w:val="006665D5"/>
    <w:rsid w:val="006C72AF"/>
    <w:rsid w:val="00726CBE"/>
    <w:rsid w:val="007C2B70"/>
    <w:rsid w:val="0086209B"/>
    <w:rsid w:val="00887A96"/>
    <w:rsid w:val="009271B8"/>
    <w:rsid w:val="00941AF8"/>
    <w:rsid w:val="00944522"/>
    <w:rsid w:val="00997A32"/>
    <w:rsid w:val="00A34A92"/>
    <w:rsid w:val="00AA6F81"/>
    <w:rsid w:val="00B454EB"/>
    <w:rsid w:val="00B844FE"/>
    <w:rsid w:val="00BD453F"/>
    <w:rsid w:val="00C46CB2"/>
    <w:rsid w:val="00C51A80"/>
    <w:rsid w:val="00C6722A"/>
    <w:rsid w:val="00C726C2"/>
    <w:rsid w:val="00C759C7"/>
    <w:rsid w:val="00D40D4C"/>
    <w:rsid w:val="00D82EF8"/>
    <w:rsid w:val="00DB4945"/>
    <w:rsid w:val="00DD6C46"/>
    <w:rsid w:val="00DE1FE5"/>
    <w:rsid w:val="00E97E43"/>
    <w:rsid w:val="00EE13F6"/>
    <w:rsid w:val="00FA706A"/>
    <w:rsid w:val="00FF3EF8"/>
    <w:rsid w:val="010C36C8"/>
    <w:rsid w:val="04CC6A3D"/>
    <w:rsid w:val="04CD090B"/>
    <w:rsid w:val="05C263D6"/>
    <w:rsid w:val="08E03423"/>
    <w:rsid w:val="09344C4E"/>
    <w:rsid w:val="0A0106F5"/>
    <w:rsid w:val="0B36375A"/>
    <w:rsid w:val="0C707C14"/>
    <w:rsid w:val="0CE20074"/>
    <w:rsid w:val="0EE55A91"/>
    <w:rsid w:val="1574621E"/>
    <w:rsid w:val="1A0653C4"/>
    <w:rsid w:val="1ACD37C2"/>
    <w:rsid w:val="1BC26010"/>
    <w:rsid w:val="1C0C1B6A"/>
    <w:rsid w:val="1DF63666"/>
    <w:rsid w:val="227859C0"/>
    <w:rsid w:val="22AE0B82"/>
    <w:rsid w:val="237909F8"/>
    <w:rsid w:val="267B2653"/>
    <w:rsid w:val="26C32955"/>
    <w:rsid w:val="28D220AC"/>
    <w:rsid w:val="29270EDC"/>
    <w:rsid w:val="294835F5"/>
    <w:rsid w:val="2B0F3624"/>
    <w:rsid w:val="2D89352F"/>
    <w:rsid w:val="340E25D9"/>
    <w:rsid w:val="341A0804"/>
    <w:rsid w:val="3694098A"/>
    <w:rsid w:val="37920202"/>
    <w:rsid w:val="38222DF0"/>
    <w:rsid w:val="39B03518"/>
    <w:rsid w:val="3B16260A"/>
    <w:rsid w:val="3C5F2ED5"/>
    <w:rsid w:val="3F375A43"/>
    <w:rsid w:val="43B54A45"/>
    <w:rsid w:val="44C13D25"/>
    <w:rsid w:val="451A4D13"/>
    <w:rsid w:val="461F45F4"/>
    <w:rsid w:val="4624790D"/>
    <w:rsid w:val="46B864B2"/>
    <w:rsid w:val="46FF153C"/>
    <w:rsid w:val="48023F20"/>
    <w:rsid w:val="482400FD"/>
    <w:rsid w:val="485F0A38"/>
    <w:rsid w:val="494135D3"/>
    <w:rsid w:val="4C5915DA"/>
    <w:rsid w:val="4D945499"/>
    <w:rsid w:val="4E6859B7"/>
    <w:rsid w:val="50125623"/>
    <w:rsid w:val="508D0070"/>
    <w:rsid w:val="521C3800"/>
    <w:rsid w:val="52BB42CF"/>
    <w:rsid w:val="53365190"/>
    <w:rsid w:val="538335A0"/>
    <w:rsid w:val="53BE4836"/>
    <w:rsid w:val="554C269D"/>
    <w:rsid w:val="5CE44C8E"/>
    <w:rsid w:val="5DA464F1"/>
    <w:rsid w:val="5E386B20"/>
    <w:rsid w:val="5E5E3C84"/>
    <w:rsid w:val="5F3250CA"/>
    <w:rsid w:val="60FA4DF7"/>
    <w:rsid w:val="62CF7CC4"/>
    <w:rsid w:val="630A50E0"/>
    <w:rsid w:val="631C6F8C"/>
    <w:rsid w:val="63201C2F"/>
    <w:rsid w:val="6326247B"/>
    <w:rsid w:val="650C7D81"/>
    <w:rsid w:val="668806F3"/>
    <w:rsid w:val="671604B0"/>
    <w:rsid w:val="693747D3"/>
    <w:rsid w:val="69587BB4"/>
    <w:rsid w:val="6A18720C"/>
    <w:rsid w:val="6E7F0056"/>
    <w:rsid w:val="6EA3424A"/>
    <w:rsid w:val="6EF449AB"/>
    <w:rsid w:val="70997702"/>
    <w:rsid w:val="71D85D4A"/>
    <w:rsid w:val="722E3CB7"/>
    <w:rsid w:val="72353C60"/>
    <w:rsid w:val="749F1D7E"/>
    <w:rsid w:val="764D5755"/>
    <w:rsid w:val="7EA0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unhideWhenUsed/>
    <w:qFormat/>
    <w:uiPriority w:val="9"/>
    <w:pPr>
      <w:keepNext/>
      <w:keepLines/>
      <w:numPr>
        <w:ilvl w:val="2"/>
        <w:numId w:val="1"/>
      </w:numPr>
      <w:spacing w:before="120" w:after="120"/>
      <w:ind w:firstLine="0"/>
      <w:outlineLvl w:val="2"/>
    </w:pPr>
    <w:rPr>
      <w:rFonts w:ascii="宋体" w:hAnsi="宋体"/>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zh-CN"/>
    </w:rPr>
  </w:style>
  <w:style w:type="paragraph" w:styleId="6">
    <w:name w:val="Body Text"/>
    <w:basedOn w:val="1"/>
    <w:semiHidden/>
    <w:unhideWhenUsed/>
    <w:qFormat/>
    <w:uiPriority w:val="99"/>
    <w:pPr>
      <w:spacing w:after="120"/>
    </w:pPr>
  </w:style>
  <w:style w:type="paragraph" w:styleId="7">
    <w:name w:val="Body Text Indent"/>
    <w:basedOn w:val="1"/>
    <w:next w:val="8"/>
    <w:qFormat/>
    <w:uiPriority w:val="0"/>
    <w:pPr>
      <w:snapToGrid w:val="0"/>
      <w:spacing w:line="440" w:lineRule="exact"/>
      <w:ind w:left="1120" w:hanging="1120" w:hangingChars="400"/>
    </w:pPr>
    <w:rPr>
      <w:rFonts w:eastAsia="DFKai-SB"/>
      <w:sz w:val="28"/>
      <w:lang w:eastAsia="zh-TW"/>
    </w:rPr>
  </w:style>
  <w:style w:type="paragraph" w:styleId="8">
    <w:name w:val="envelope return"/>
    <w:basedOn w:val="1"/>
    <w:qFormat/>
    <w:uiPriority w:val="0"/>
    <w:pPr>
      <w:snapToGrid w:val="0"/>
    </w:pPr>
    <w:rPr>
      <w:rFonts w:ascii="Arial" w:hAnsi="Arial"/>
    </w:rPr>
  </w:style>
  <w:style w:type="paragraph" w:styleId="9">
    <w:name w:val="List 2"/>
    <w:basedOn w:val="1"/>
    <w:semiHidden/>
    <w:unhideWhenUsed/>
    <w:qFormat/>
    <w:uiPriority w:val="99"/>
    <w:pPr>
      <w:widowControl/>
      <w:adjustRightInd w:val="0"/>
      <w:snapToGrid w:val="0"/>
      <w:spacing w:before="100" w:beforeAutospacing="1" w:after="200"/>
      <w:ind w:left="100" w:leftChars="200" w:hanging="200" w:hangingChars="200"/>
      <w:jc w:val="left"/>
    </w:pPr>
    <w:rPr>
      <w:rFonts w:ascii="Tahoma" w:hAnsi="Tahoma" w:eastAsia="微软雅黑" w:cs="Times New Roman"/>
      <w:kern w:val="0"/>
      <w:sz w:val="22"/>
      <w:szCs w:val="22"/>
    </w:rPr>
  </w:style>
  <w:style w:type="paragraph" w:styleId="10">
    <w:name w:val="Plain Text"/>
    <w:basedOn w:val="1"/>
    <w:qFormat/>
    <w:uiPriority w:val="0"/>
    <w:pPr>
      <w:jc w:val="left"/>
    </w:pPr>
    <w:rPr>
      <w:rFonts w:ascii="MingLiU" w:hAnsi="Courier New" w:eastAsia="MingLiU"/>
      <w:sz w:val="24"/>
      <w:szCs w:val="20"/>
      <w:lang w:eastAsia="zh-TW"/>
    </w:r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29"/>
    <w:qFormat/>
    <w:uiPriority w:val="0"/>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6">
    <w:name w:val="Body Text First Indent 2"/>
    <w:basedOn w:val="7"/>
    <w:next w:val="1"/>
    <w:qFormat/>
    <w:uiPriority w:val="0"/>
    <w:pPr>
      <w:ind w:firstLine="420"/>
    </w:pPr>
    <w:rPr>
      <w:rFonts w:ascii="Times New Roman" w:hAnsi="Times New Roman" w:cs="Times New Roman"/>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039BE5"/>
      <w:u w:val="none"/>
    </w:rPr>
  </w:style>
  <w:style w:type="character" w:styleId="22">
    <w:name w:val="HTML Definition"/>
    <w:basedOn w:val="19"/>
    <w:qFormat/>
    <w:uiPriority w:val="0"/>
    <w:rPr>
      <w:i/>
      <w:iCs/>
    </w:rPr>
  </w:style>
  <w:style w:type="character" w:styleId="23">
    <w:name w:val="Hyperlink"/>
    <w:basedOn w:val="19"/>
    <w:qFormat/>
    <w:uiPriority w:val="99"/>
    <w:rPr>
      <w:color w:val="0000FF"/>
      <w:u w:val="single"/>
    </w:rPr>
  </w:style>
  <w:style w:type="character" w:styleId="24">
    <w:name w:val="HTML Code"/>
    <w:basedOn w:val="19"/>
    <w:qFormat/>
    <w:uiPriority w:val="0"/>
    <w:rPr>
      <w:rFonts w:hint="default" w:ascii="Consolas" w:hAnsi="Consolas" w:eastAsia="Consolas" w:cs="Consolas"/>
      <w:color w:val="C7254E"/>
      <w:sz w:val="21"/>
      <w:szCs w:val="21"/>
      <w:shd w:val="clear" w:fill="F9F2F4"/>
    </w:rPr>
  </w:style>
  <w:style w:type="character" w:styleId="25">
    <w:name w:val="HTML Keyboard"/>
    <w:basedOn w:val="19"/>
    <w:qFormat/>
    <w:uiPriority w:val="0"/>
    <w:rPr>
      <w:rFonts w:ascii="Consolas" w:hAnsi="Consolas" w:eastAsia="Consolas" w:cs="Consolas"/>
      <w:color w:val="FFFFFF"/>
      <w:sz w:val="18"/>
      <w:szCs w:val="18"/>
      <w:shd w:val="clear" w:fill="333333"/>
    </w:rPr>
  </w:style>
  <w:style w:type="character" w:styleId="26">
    <w:name w:val="HTML Sample"/>
    <w:basedOn w:val="19"/>
    <w:qFormat/>
    <w:uiPriority w:val="0"/>
    <w:rPr>
      <w:rFonts w:hint="default" w:ascii="Consolas" w:hAnsi="Consolas" w:eastAsia="Consolas" w:cs="Consolas"/>
      <w:color w:val="000000"/>
      <w:sz w:val="21"/>
      <w:szCs w:val="21"/>
    </w:rPr>
  </w:style>
  <w:style w:type="paragraph" w:customStyle="1" w:styleId="27">
    <w:name w:val="样式 10 磅31114"/>
    <w:qFormat/>
    <w:uiPriority w:val="0"/>
    <w:pPr>
      <w:widowControl w:val="0"/>
      <w:jc w:val="center"/>
    </w:pPr>
    <w:rPr>
      <w:rFonts w:ascii="Times New Roman" w:hAnsi="Times New Roman" w:eastAsia="宋体" w:cs="Times New Roman"/>
      <w:b/>
      <w:kern w:val="2"/>
      <w:sz w:val="15"/>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框文本 字符"/>
    <w:basedOn w:val="19"/>
    <w:link w:val="12"/>
    <w:qFormat/>
    <w:uiPriority w:val="0"/>
    <w:rPr>
      <w:kern w:val="2"/>
      <w:sz w:val="18"/>
      <w:szCs w:val="18"/>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标题 2 字符"/>
    <w:link w:val="4"/>
    <w:qFormat/>
    <w:uiPriority w:val="9"/>
    <w:rPr>
      <w:rFonts w:ascii="Calibri Light" w:hAnsi="Calibri Light"/>
      <w:b/>
      <w:bCs/>
      <w:sz w:val="32"/>
      <w:szCs w:val="32"/>
    </w:rPr>
  </w:style>
  <w:style w:type="paragraph" w:customStyle="1" w:styleId="33">
    <w:name w:val="普通文字"/>
    <w:basedOn w:val="1"/>
    <w:next w:val="1"/>
    <w:qFormat/>
    <w:uiPriority w:val="99"/>
    <w:rPr>
      <w:rFonts w:ascii="宋体" w:hAnsi="宋体" w:cs="宋体"/>
      <w:kern w:val="0"/>
      <w:sz w:val="24"/>
      <w:u w:color="000000"/>
    </w:rPr>
  </w:style>
  <w:style w:type="paragraph" w:customStyle="1" w:styleId="34">
    <w:name w:val="首行缩进"/>
    <w:basedOn w:val="1"/>
    <w:qFormat/>
    <w:uiPriority w:val="0"/>
    <w:pPr>
      <w:ind w:firstLine="480" w:firstLineChars="200"/>
    </w:pPr>
    <w:rPr>
      <w:lang w:val="zh-CN"/>
    </w:rPr>
  </w:style>
  <w:style w:type="paragraph" w:customStyle="1" w:styleId="35">
    <w:name w:val="默认"/>
    <w:qFormat/>
    <w:uiPriority w:val="0"/>
    <w:pPr>
      <w:framePr w:wrap="around" w:vAnchor="margin" w:hAnchor="text" w:y="1"/>
    </w:pPr>
    <w:rPr>
      <w:rFonts w:ascii="Helvetica Neue" w:hAnsi="Helvetica Neue" w:eastAsia="Helvetica Neue" w:cs="Helvetica Neue"/>
      <w:color w:val="000000"/>
      <w:sz w:val="22"/>
      <w:szCs w:val="22"/>
      <w:lang w:val="en-US" w:eastAsia="zh-CN" w:bidi="ar-SA"/>
    </w:rPr>
  </w:style>
  <w:style w:type="paragraph" w:customStyle="1" w:styleId="36">
    <w:name w:val="小标题 2"/>
    <w:next w:val="37"/>
    <w:qFormat/>
    <w:uiPriority w:val="0"/>
    <w:pPr>
      <w:keepNext/>
      <w:framePr w:wrap="around" w:vAnchor="margin" w:hAnchor="text" w:y="1"/>
      <w:outlineLvl w:val="3"/>
    </w:pPr>
    <w:rPr>
      <w:rFonts w:ascii="Helvetica Neue" w:hAnsi="Helvetica Neue" w:eastAsia="Helvetica Neue" w:cs="Helvetica Neue"/>
      <w:b/>
      <w:bCs/>
      <w:color w:val="000000"/>
      <w:sz w:val="32"/>
      <w:szCs w:val="32"/>
      <w:lang w:val="en-US" w:eastAsia="zh-CN" w:bidi="ar-SA"/>
    </w:rPr>
  </w:style>
  <w:style w:type="paragraph" w:customStyle="1" w:styleId="37">
    <w:name w:val="正文1"/>
    <w:qFormat/>
    <w:uiPriority w:val="0"/>
    <w:pPr>
      <w:framePr w:wrap="around" w:vAnchor="margin" w:hAnchor="text" w:y="1"/>
    </w:pPr>
    <w:rPr>
      <w:rFonts w:ascii="Helvetica Neue" w:hAnsi="Helvetica Neue" w:eastAsia="Arial Unicode MS" w:cs="Arial Unicode MS"/>
      <w:color w:val="000000"/>
      <w:sz w:val="22"/>
      <w:szCs w:val="22"/>
      <w:lang w:val="en-US" w:eastAsia="zh-CN" w:bidi="ar-SA"/>
    </w:rPr>
  </w:style>
  <w:style w:type="character" w:customStyle="1" w:styleId="38">
    <w:name w:val="hover"/>
    <w:basedOn w:val="19"/>
    <w:qFormat/>
    <w:uiPriority w:val="0"/>
    <w:rPr>
      <w:shd w:val="clear" w:fill="F5F5F5"/>
    </w:rPr>
  </w:style>
  <w:style w:type="character" w:customStyle="1" w:styleId="39">
    <w:name w:val="new"/>
    <w:basedOn w:val="19"/>
    <w:qFormat/>
    <w:uiPriority w:val="0"/>
    <w:rPr>
      <w:color w:val="999999"/>
    </w:rPr>
  </w:style>
  <w:style w:type="character" w:customStyle="1" w:styleId="40">
    <w:name w:val="after"/>
    <w:basedOn w:val="19"/>
    <w:qFormat/>
    <w:uiPriority w:val="0"/>
    <w:rPr>
      <w:rFonts w:hint="default" w:ascii="icomoon" w:hAnsi="icomoon" w:eastAsia="icomoon" w:cs="icomoon"/>
      <w:sz w:val="24"/>
      <w:szCs w:val="24"/>
    </w:rPr>
  </w:style>
  <w:style w:type="character" w:customStyle="1" w:styleId="41">
    <w:name w:val="after1"/>
    <w:basedOn w:val="19"/>
    <w:qFormat/>
    <w:uiPriority w:val="0"/>
    <w:rPr>
      <w:bdr w:val="single" w:color="auto" w:sz="24" w:space="0"/>
    </w:rPr>
  </w:style>
  <w:style w:type="character" w:customStyle="1" w:styleId="42">
    <w:name w:val="after2"/>
    <w:basedOn w:val="19"/>
    <w:qFormat/>
    <w:uiPriority w:val="0"/>
  </w:style>
  <w:style w:type="character" w:customStyle="1" w:styleId="43">
    <w:name w:val="icon-blocked"/>
    <w:basedOn w:val="19"/>
    <w:qFormat/>
    <w:uiPriority w:val="0"/>
    <w:rPr>
      <w:color w:val="F5F5F5"/>
      <w:sz w:val="21"/>
      <w:szCs w:val="21"/>
    </w:rPr>
  </w:style>
  <w:style w:type="character" w:customStyle="1" w:styleId="44">
    <w:name w:val="old"/>
    <w:basedOn w:val="19"/>
    <w:qFormat/>
    <w:uiPriority w:val="0"/>
    <w:rPr>
      <w:color w:val="999999"/>
    </w:rPr>
  </w:style>
  <w:style w:type="paragraph" w:customStyle="1" w:styleId="45">
    <w:name w:val="_Style 43"/>
    <w:basedOn w:val="1"/>
    <w:next w:val="1"/>
    <w:qFormat/>
    <w:uiPriority w:val="0"/>
    <w:pPr>
      <w:pBdr>
        <w:bottom w:val="single" w:color="auto" w:sz="6" w:space="1"/>
      </w:pBdr>
      <w:jc w:val="center"/>
    </w:pPr>
    <w:rPr>
      <w:rFonts w:ascii="Arial" w:eastAsia="宋体"/>
      <w:vanish/>
      <w:sz w:val="16"/>
    </w:rPr>
  </w:style>
  <w:style w:type="paragraph" w:customStyle="1" w:styleId="46">
    <w:name w:val="_Style 44"/>
    <w:basedOn w:val="1"/>
    <w:next w:val="1"/>
    <w:qFormat/>
    <w:uiPriority w:val="0"/>
    <w:pPr>
      <w:pBdr>
        <w:top w:val="single" w:color="auto" w:sz="6" w:space="1"/>
      </w:pBdr>
      <w:jc w:val="center"/>
    </w:pPr>
    <w:rPr>
      <w:rFonts w:ascii="Arial" w:eastAsia="宋体"/>
      <w:vanish/>
      <w:sz w:val="16"/>
    </w:rPr>
  </w:style>
  <w:style w:type="character" w:customStyle="1" w:styleId="47">
    <w:name w:val="hover5"/>
    <w:basedOn w:val="19"/>
    <w:qFormat/>
    <w:uiPriority w:val="0"/>
    <w:rPr>
      <w:shd w:val="clear" w:fill="F5F5F5"/>
    </w:rPr>
  </w:style>
  <w:style w:type="paragraph" w:customStyle="1" w:styleId="48">
    <w:name w:val="_Style 47"/>
    <w:basedOn w:val="1"/>
    <w:next w:val="1"/>
    <w:qFormat/>
    <w:uiPriority w:val="0"/>
    <w:pPr>
      <w:pBdr>
        <w:bottom w:val="single" w:color="auto" w:sz="6" w:space="1"/>
      </w:pBdr>
      <w:jc w:val="center"/>
    </w:pPr>
    <w:rPr>
      <w:rFonts w:ascii="Arial" w:eastAsia="宋体"/>
      <w:vanish/>
      <w:sz w:val="16"/>
    </w:rPr>
  </w:style>
  <w:style w:type="paragraph" w:customStyle="1" w:styleId="49">
    <w:name w:val="_Style 48"/>
    <w:basedOn w:val="1"/>
    <w:next w:val="1"/>
    <w:qFormat/>
    <w:uiPriority w:val="0"/>
    <w:pPr>
      <w:pBdr>
        <w:top w:val="single" w:color="auto" w:sz="6" w:space="1"/>
      </w:pBdr>
      <w:jc w:val="center"/>
    </w:pPr>
    <w:rPr>
      <w:rFonts w:ascii="Arial" w:eastAsia="宋体"/>
      <w:vanish/>
      <w:sz w:val="16"/>
    </w:rPr>
  </w:style>
  <w:style w:type="paragraph" w:customStyle="1" w:styleId="50">
    <w:name w:val="_正文"/>
    <w:basedOn w:val="1"/>
    <w:qFormat/>
    <w:uiPriority w:val="0"/>
    <w:pPr>
      <w:spacing w:line="360" w:lineRule="auto"/>
      <w:ind w:firstLine="200" w:firstLineChars="200"/>
    </w:pPr>
    <w:rPr>
      <w:rFonts w:eastAsia="微软雅黑"/>
      <w:szCs w:val="24"/>
    </w:rPr>
  </w:style>
  <w:style w:type="paragraph" w:customStyle="1" w:styleId="51">
    <w:name w:val="Table Paragraph"/>
    <w:basedOn w:val="1"/>
    <w:qFormat/>
    <w:uiPriority w:val="1"/>
    <w:rPr>
      <w:rFonts w:ascii="宋体" w:hAnsi="宋体" w:cs="宋体"/>
      <w:lang w:val="zh-CN" w:bidi="zh-CN"/>
    </w:rPr>
  </w:style>
  <w:style w:type="paragraph" w:customStyle="1" w:styleId="52">
    <w:name w:val="_Style 51"/>
    <w:basedOn w:val="1"/>
    <w:next w:val="1"/>
    <w:qFormat/>
    <w:uiPriority w:val="0"/>
    <w:pPr>
      <w:pBdr>
        <w:bottom w:val="single" w:color="auto" w:sz="6" w:space="1"/>
      </w:pBdr>
      <w:jc w:val="center"/>
    </w:pPr>
    <w:rPr>
      <w:rFonts w:ascii="Arial" w:eastAsia="宋体"/>
      <w:vanish/>
      <w:sz w:val="16"/>
    </w:rPr>
  </w:style>
  <w:style w:type="paragraph" w:customStyle="1" w:styleId="53">
    <w:name w:val="_Style 52"/>
    <w:basedOn w:val="1"/>
    <w:next w:val="1"/>
    <w:qFormat/>
    <w:uiPriority w:val="0"/>
    <w:pPr>
      <w:pBdr>
        <w:top w:val="single" w:color="auto" w:sz="6" w:space="1"/>
      </w:pBdr>
      <w:jc w:val="center"/>
    </w:pPr>
    <w:rPr>
      <w:rFonts w:ascii="Arial" w:eastAsia="宋体"/>
      <w:vanish/>
      <w:sz w:val="16"/>
    </w:rPr>
  </w:style>
  <w:style w:type="character" w:customStyle="1" w:styleId="54">
    <w:name w:val="hover4"/>
    <w:basedOn w:val="19"/>
    <w:qFormat/>
    <w:uiPriority w:val="0"/>
    <w:rPr>
      <w:shd w:val="clear" w:fill="F5F5F5"/>
    </w:rPr>
  </w:style>
  <w:style w:type="paragraph" w:styleId="55">
    <w:name w:val=""/>
    <w:basedOn w:val="1"/>
    <w:next w:val="1"/>
    <w:uiPriority w:val="0"/>
    <w:pPr>
      <w:pBdr>
        <w:bottom w:val="single" w:color="auto" w:sz="6" w:space="1"/>
      </w:pBdr>
      <w:jc w:val="center"/>
    </w:pPr>
    <w:rPr>
      <w:rFonts w:ascii="Arial" w:eastAsia="宋体"/>
      <w:vanish/>
      <w:sz w:val="16"/>
    </w:rPr>
  </w:style>
  <w:style w:type="paragraph" w:styleId="56">
    <w:name w:val=""/>
    <w:basedOn w:val="1"/>
    <w:next w:val="1"/>
    <w:uiPriority w:val="0"/>
    <w:pPr>
      <w:pBdr>
        <w:top w:val="single" w:color="auto" w:sz="6" w:space="1"/>
      </w:pBdr>
      <w:jc w:val="center"/>
    </w:pPr>
    <w:rPr>
      <w:rFonts w:ascii="Arial" w:eastAsia="宋体"/>
      <w:vanish/>
      <w:sz w:val="16"/>
    </w:rPr>
  </w:style>
  <w:style w:type="character" w:customStyle="1" w:styleId="57">
    <w:name w:val="hover3"/>
    <w:basedOn w:val="19"/>
    <w:uiPriority w:val="0"/>
    <w:rPr>
      <w:shd w:val="clear" w:fill="F5F5F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12215</Words>
  <Characters>12772</Characters>
  <Lines>66</Lines>
  <Paragraphs>18</Paragraphs>
  <TotalTime>2</TotalTime>
  <ScaleCrop>false</ScaleCrop>
  <LinksUpToDate>false</LinksUpToDate>
  <CharactersWithSpaces>14492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浅笑安然</cp:lastModifiedBy>
  <dcterms:modified xsi:type="dcterms:W3CDTF">2024-07-16T03:39:58Z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49F5C42ABC814F43B25EE5CCDDC19508_13</vt:lpwstr>
  </property>
</Properties>
</file>